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4F8F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 xml:space="preserve">Change Request </w:t>
      </w:r>
      <w:proofErr w:type="gramStart"/>
      <w:r w:rsidRPr="004D4723">
        <w:rPr>
          <w:rFonts w:asciiTheme="minorHAnsi" w:hAnsiTheme="minorHAnsi" w:cstheme="minorHAnsi"/>
          <w:sz w:val="24"/>
          <w:szCs w:val="24"/>
        </w:rPr>
        <w:t>details</w:t>
      </w:r>
      <w:proofErr w:type="gramEnd"/>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1B72C738">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2"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1B72C738">
        <w:tc>
          <w:tcPr>
            <w:tcW w:w="3813" w:type="dxa"/>
            <w:tcBorders>
              <w:left w:val="single" w:sz="4" w:space="0" w:color="auto"/>
              <w:right w:val="single" w:sz="4" w:space="0" w:color="auto"/>
            </w:tcBorders>
            <w:shd w:val="clear" w:color="auto" w:fill="F2F2F2" w:themeFill="background2"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6CA05732" w:rsidR="004D4723" w:rsidRPr="00D310C3" w:rsidRDefault="00D310C3" w:rsidP="005A4D7B">
            <w:pPr>
              <w:pStyle w:val="MHHSBody"/>
              <w:rPr>
                <w:rFonts w:cstheme="minorHAnsi"/>
                <w:color w:val="808080" w:themeColor="background1" w:themeShade="80"/>
                <w:szCs w:val="20"/>
              </w:rPr>
            </w:pPr>
            <w:r w:rsidRPr="00D310C3">
              <w:rPr>
                <w:rFonts w:cstheme="minorHAnsi"/>
                <w:szCs w:val="20"/>
              </w:rPr>
              <w:t>Corrections to EES and SDEP Requirements</w:t>
            </w:r>
          </w:p>
        </w:tc>
      </w:tr>
      <w:tr w:rsidR="004D4723" w:rsidRPr="00DF7C48" w14:paraId="0B95FA46" w14:textId="77777777" w:rsidTr="1B72C738">
        <w:tc>
          <w:tcPr>
            <w:tcW w:w="3813" w:type="dxa"/>
            <w:tcBorders>
              <w:left w:val="single" w:sz="4" w:space="0" w:color="auto"/>
              <w:right w:val="single" w:sz="4" w:space="0" w:color="auto"/>
            </w:tcBorders>
            <w:shd w:val="clear" w:color="auto" w:fill="F2F2F2" w:themeFill="background2"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3C662660" w:rsidR="004D4723" w:rsidRPr="00DF7C48" w:rsidRDefault="00B26560" w:rsidP="005A4D7B">
            <w:pPr>
              <w:pStyle w:val="MHHSBody"/>
              <w:rPr>
                <w:rFonts w:cstheme="minorHAnsi"/>
                <w:i/>
                <w:iCs/>
                <w:szCs w:val="20"/>
              </w:rPr>
            </w:pPr>
            <w:r>
              <w:rPr>
                <w:rFonts w:cstheme="minorHAnsi"/>
                <w:i/>
                <w:iCs/>
                <w:szCs w:val="20"/>
              </w:rPr>
              <w:t>CR028</w:t>
            </w:r>
          </w:p>
        </w:tc>
      </w:tr>
      <w:tr w:rsidR="004D4723" w:rsidRPr="00DF7C48" w14:paraId="287C3449" w14:textId="77777777" w:rsidTr="1B72C738">
        <w:tc>
          <w:tcPr>
            <w:tcW w:w="3813" w:type="dxa"/>
            <w:tcBorders>
              <w:left w:val="single" w:sz="4" w:space="0" w:color="auto"/>
              <w:right w:val="single" w:sz="4" w:space="0" w:color="auto"/>
            </w:tcBorders>
            <w:shd w:val="clear" w:color="auto" w:fill="F2F2F2" w:themeFill="background2"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43F90200" w:rsidR="004D4723" w:rsidRPr="00D310C3" w:rsidRDefault="00D310C3" w:rsidP="005A4D7B">
            <w:pPr>
              <w:pStyle w:val="MHHSBody"/>
              <w:rPr>
                <w:rFonts w:cstheme="minorHAnsi"/>
                <w:szCs w:val="20"/>
              </w:rPr>
            </w:pPr>
            <w:r>
              <w:rPr>
                <w:rFonts w:cstheme="minorHAnsi"/>
                <w:szCs w:val="20"/>
              </w:rPr>
              <w:t>N/A</w:t>
            </w:r>
          </w:p>
        </w:tc>
      </w:tr>
      <w:tr w:rsidR="004D4723" w:rsidRPr="00DF7C48" w14:paraId="1E28EE4E" w14:textId="77777777" w:rsidTr="1B72C738">
        <w:tc>
          <w:tcPr>
            <w:tcW w:w="3813" w:type="dxa"/>
            <w:tcBorders>
              <w:left w:val="single" w:sz="4" w:space="0" w:color="auto"/>
              <w:right w:val="single" w:sz="4" w:space="0" w:color="auto"/>
            </w:tcBorders>
            <w:shd w:val="clear" w:color="auto" w:fill="F2F2F2" w:themeFill="background2"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79D9E604" w:rsidR="004D4723" w:rsidRPr="00D310C3" w:rsidRDefault="00D310C3" w:rsidP="005A4D7B">
            <w:pPr>
              <w:pStyle w:val="MHHSBody"/>
              <w:rPr>
                <w:rFonts w:cstheme="minorHAnsi"/>
                <w:szCs w:val="20"/>
              </w:rPr>
            </w:pPr>
            <w:r>
              <w:rPr>
                <w:rFonts w:cstheme="minorHAnsi"/>
                <w:szCs w:val="20"/>
              </w:rPr>
              <w:t>N/A</w:t>
            </w:r>
          </w:p>
        </w:tc>
      </w:tr>
      <w:tr w:rsidR="004D4723" w:rsidRPr="00DF7C48" w14:paraId="60F9847C" w14:textId="77777777" w:rsidTr="1B72C738">
        <w:trPr>
          <w:trHeight w:val="340"/>
        </w:trPr>
        <w:tc>
          <w:tcPr>
            <w:tcW w:w="3813" w:type="dxa"/>
            <w:tcBorders>
              <w:left w:val="single" w:sz="4" w:space="0" w:color="auto"/>
              <w:right w:val="single" w:sz="4" w:space="0" w:color="auto"/>
            </w:tcBorders>
            <w:shd w:val="clear" w:color="auto" w:fill="F2F2F2" w:themeFill="background2"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3AA4B4E1" w:rsidR="004D4723" w:rsidRPr="00D310C3" w:rsidRDefault="00D310C3" w:rsidP="005A4D7B">
            <w:pPr>
              <w:pStyle w:val="MHHSBody"/>
              <w:rPr>
                <w:rFonts w:cstheme="minorHAnsi"/>
                <w:szCs w:val="20"/>
              </w:rPr>
            </w:pPr>
            <w:r>
              <w:rPr>
                <w:rFonts w:cstheme="minorHAnsi"/>
                <w:szCs w:val="20"/>
              </w:rPr>
              <w:t xml:space="preserve">Jonny Moore / </w:t>
            </w:r>
            <w:proofErr w:type="spellStart"/>
            <w:r>
              <w:rPr>
                <w:rFonts w:cstheme="minorHAnsi"/>
                <w:szCs w:val="20"/>
              </w:rPr>
              <w:t>RECCo</w:t>
            </w:r>
            <w:proofErr w:type="spellEnd"/>
          </w:p>
        </w:tc>
        <w:tc>
          <w:tcPr>
            <w:tcW w:w="1417" w:type="dxa"/>
            <w:tcBorders>
              <w:left w:val="single" w:sz="4" w:space="0" w:color="auto"/>
              <w:right w:val="single" w:sz="4" w:space="0" w:color="auto"/>
            </w:tcBorders>
          </w:tcPr>
          <w:p w14:paraId="313F282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10FF7BF1" w:rsidR="00393377" w:rsidRPr="00D310C3" w:rsidRDefault="0010781D" w:rsidP="1B72C738">
            <w:pPr>
              <w:pStyle w:val="MHHSBody"/>
              <w:rPr>
                <w:color w:val="FF0000"/>
              </w:rPr>
            </w:pPr>
            <w:r w:rsidRPr="0010781D">
              <w:t>06/07/2023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E620EC">
        <w:trPr>
          <w:trHeight w:val="1515"/>
        </w:trPr>
        <w:tc>
          <w:tcPr>
            <w:tcW w:w="10680" w:type="dxa"/>
            <w:gridSpan w:val="2"/>
            <w:vAlign w:val="top"/>
          </w:tcPr>
          <w:p w14:paraId="529B6DE7" w14:textId="0AA15069" w:rsidR="00790171" w:rsidRDefault="00790171" w:rsidP="00BA4845">
            <w:pPr>
              <w:pStyle w:val="MHHSBody"/>
              <w:spacing w:after="20" w:line="0" w:lineRule="atLeast"/>
              <w:rPr>
                <w:b/>
                <w:bCs/>
              </w:rPr>
            </w:pPr>
            <w:r>
              <w:rPr>
                <w:b/>
                <w:bCs/>
              </w:rPr>
              <w:t>Issue statement:</w:t>
            </w:r>
          </w:p>
          <w:p w14:paraId="49AAE279" w14:textId="77777777" w:rsidR="0096185C" w:rsidRDefault="0096185C" w:rsidP="00BA4845">
            <w:pPr>
              <w:pStyle w:val="MHHSBody"/>
              <w:spacing w:after="20" w:line="0" w:lineRule="atLeast"/>
              <w:rPr>
                <w:b/>
                <w:bCs/>
              </w:rPr>
            </w:pPr>
          </w:p>
          <w:p w14:paraId="699676ED" w14:textId="2EA3A9B5" w:rsidR="00D310C3" w:rsidRDefault="00D310C3" w:rsidP="00BA4845">
            <w:pPr>
              <w:pStyle w:val="MHHSBody"/>
              <w:spacing w:after="20" w:line="0" w:lineRule="atLeast"/>
            </w:pPr>
            <w:r w:rsidRPr="00D310C3">
              <w:t>MHHS Document BRS006 ‘EES and SDEP Requ</w:t>
            </w:r>
            <w:r>
              <w:t xml:space="preserve">irements’ was issued on 16/02/2023 as part of the </w:t>
            </w:r>
            <w:r w:rsidR="004A6190">
              <w:t>baselined</w:t>
            </w:r>
            <w:r w:rsidR="00207336">
              <w:t xml:space="preserve"> MHHS</w:t>
            </w:r>
            <w:r w:rsidR="004A6190">
              <w:t xml:space="preserve"> design </w:t>
            </w:r>
            <w:r>
              <w:t>to p</w:t>
            </w:r>
            <w:r w:rsidR="00803CF6">
              <w:t>rovide guidance to parties on the</w:t>
            </w:r>
            <w:r w:rsidR="00CE2D96">
              <w:t xml:space="preserve"> consequential</w:t>
            </w:r>
            <w:r w:rsidR="00803CF6">
              <w:t xml:space="preserve"> changes required to</w:t>
            </w:r>
            <w:r w:rsidR="0089337F">
              <w:t xml:space="preserve"> the</w:t>
            </w:r>
            <w:r w:rsidR="00803CF6">
              <w:t xml:space="preserve"> Electricity Enquiry Service (EES) and the Secure Data Exchange Portal (SDEP)</w:t>
            </w:r>
            <w:r>
              <w:t xml:space="preserve">. </w:t>
            </w:r>
          </w:p>
          <w:p w14:paraId="76FABDF7" w14:textId="134C43D7" w:rsidR="0089337F" w:rsidRDefault="00D310C3" w:rsidP="00BA4845">
            <w:pPr>
              <w:pStyle w:val="MHHSBody"/>
              <w:spacing w:after="20" w:line="0" w:lineRule="atLeast"/>
            </w:pPr>
            <w:r>
              <w:t xml:space="preserve">Since the document was issued </w:t>
            </w:r>
            <w:proofErr w:type="gramStart"/>
            <w:r>
              <w:t>a number of</w:t>
            </w:r>
            <w:proofErr w:type="gramEnd"/>
            <w:r>
              <w:t xml:space="preserve"> changes to the</w:t>
            </w:r>
            <w:r w:rsidR="00694677">
              <w:t xml:space="preserve"> EES and SDEP</w:t>
            </w:r>
            <w:r>
              <w:t xml:space="preserve"> requirements have been agreed through the Consequential Change Impact Assessment Group (CCIAG) and the REC MHHS Stakeholder Advisory Group (MSAG)</w:t>
            </w:r>
            <w:r w:rsidR="00803CF6">
              <w:t xml:space="preserve"> with </w:t>
            </w:r>
            <w:r w:rsidR="00BC3207">
              <w:t>amendments</w:t>
            </w:r>
            <w:r w:rsidR="00803CF6">
              <w:t xml:space="preserve"> also becoming apparent through the detailed EES design.</w:t>
            </w:r>
            <w:r w:rsidR="008F43C9">
              <w:t xml:space="preserve"> This Change Request has been raised to update the </w:t>
            </w:r>
            <w:r w:rsidR="00DB5905">
              <w:t xml:space="preserve">EES and SDEP Requirements </w:t>
            </w:r>
            <w:r w:rsidR="00BC3207">
              <w:t>in line with these decisions.</w:t>
            </w:r>
          </w:p>
          <w:p w14:paraId="7E02A1EC" w14:textId="7425D9A8" w:rsidR="00602A79" w:rsidRDefault="005C4B2B" w:rsidP="00BA4845">
            <w:pPr>
              <w:pStyle w:val="MHHSBody"/>
              <w:spacing w:after="20" w:line="0" w:lineRule="atLeast"/>
            </w:pPr>
            <w:r>
              <w:t>Changes made to the MHHS baselined design since February and not updated in the EES</w:t>
            </w:r>
            <w:r w:rsidR="00602A79">
              <w:t xml:space="preserve"> and SDEP</w:t>
            </w:r>
            <w:r>
              <w:t xml:space="preserve"> </w:t>
            </w:r>
            <w:r w:rsidR="00DB5905">
              <w:t>R</w:t>
            </w:r>
            <w:r>
              <w:t>equirements are also corrected within this Change Request.</w:t>
            </w:r>
          </w:p>
          <w:p w14:paraId="2AE41A00" w14:textId="77777777" w:rsidR="00433DDE" w:rsidRDefault="00433DDE" w:rsidP="00BA4845">
            <w:pPr>
              <w:pStyle w:val="MHHSBody"/>
              <w:spacing w:after="20" w:line="0" w:lineRule="atLeast"/>
            </w:pPr>
          </w:p>
          <w:p w14:paraId="4D02BAB2" w14:textId="4FE15075" w:rsidR="00433DDE" w:rsidRDefault="00433DDE" w:rsidP="00BA4845">
            <w:pPr>
              <w:pStyle w:val="MHHSBody"/>
              <w:spacing w:after="20" w:line="0" w:lineRule="atLeast"/>
            </w:pPr>
            <w:r>
              <w:t xml:space="preserve">In addition, it’s also felt that the ‘for guidance’ nature of the EES and SDEP Requirements </w:t>
            </w:r>
            <w:r w:rsidR="00110301">
              <w:t xml:space="preserve">adds </w:t>
            </w:r>
            <w:r w:rsidR="00C40757">
              <w:t xml:space="preserve">ambiguity into the MHHS design. It’s suggested as part of this CR that after </w:t>
            </w:r>
            <w:r w:rsidR="0026347D">
              <w:t>correcting</w:t>
            </w:r>
            <w:r w:rsidR="00C40757">
              <w:t xml:space="preserve"> the requirements the document is made </w:t>
            </w:r>
            <w:r w:rsidR="008220C1">
              <w:t xml:space="preserve">into a formal requirement document, with formal </w:t>
            </w:r>
            <w:r w:rsidR="00AC210B">
              <w:t>MHHS obligations</w:t>
            </w:r>
            <w:r w:rsidR="008220C1">
              <w:t xml:space="preserve"> outlined for the EES.</w:t>
            </w:r>
          </w:p>
          <w:p w14:paraId="564D3421" w14:textId="458798ED" w:rsidR="005C4B2B" w:rsidRDefault="005C4B2B" w:rsidP="00BA4845">
            <w:pPr>
              <w:pStyle w:val="MHHSBody"/>
              <w:spacing w:after="20" w:line="0" w:lineRule="atLeast"/>
            </w:pPr>
            <w:r>
              <w:t xml:space="preserve"> </w:t>
            </w:r>
          </w:p>
          <w:p w14:paraId="3CC396FD" w14:textId="19B3B07D" w:rsidR="00D310C3" w:rsidRDefault="00803CF6" w:rsidP="00BA4845">
            <w:pPr>
              <w:pStyle w:val="MHHSBody"/>
              <w:spacing w:after="20" w:line="0" w:lineRule="atLeast"/>
            </w:pPr>
            <w:r>
              <w:t>Amendments to the</w:t>
            </w:r>
            <w:r w:rsidR="008220C1">
              <w:t xml:space="preserve"> EES</w:t>
            </w:r>
            <w:r>
              <w:t xml:space="preserve"> requirements also require some minor associated change to the DES138 ‘Interface Catalogue’</w:t>
            </w:r>
            <w:r w:rsidR="00D310C3">
              <w:t xml:space="preserve"> </w:t>
            </w:r>
            <w:r>
              <w:t>document</w:t>
            </w:r>
            <w:r w:rsidR="008220C1">
              <w:t xml:space="preserve"> and </w:t>
            </w:r>
            <w:r w:rsidR="00AC210B">
              <w:t xml:space="preserve">the </w:t>
            </w:r>
            <w:r w:rsidR="00845DDA">
              <w:t>BP001 ‘Change of Supply’</w:t>
            </w:r>
            <w:r w:rsidR="00AC210B">
              <w:t xml:space="preserve"> process.</w:t>
            </w:r>
          </w:p>
          <w:p w14:paraId="7C904EF4" w14:textId="77777777" w:rsidR="005D3A8C" w:rsidRDefault="005D3A8C" w:rsidP="00BA4845">
            <w:pPr>
              <w:pStyle w:val="MHHSBody"/>
              <w:spacing w:after="20" w:line="0" w:lineRule="atLeast"/>
            </w:pPr>
          </w:p>
          <w:p w14:paraId="7B26BDE9" w14:textId="0BD50880" w:rsidR="00906B2A" w:rsidRDefault="004134CC" w:rsidP="00BA4845">
            <w:pPr>
              <w:pStyle w:val="MHHSBody"/>
              <w:spacing w:after="20" w:line="0" w:lineRule="atLeast"/>
            </w:pPr>
            <w:r>
              <w:t xml:space="preserve">We have judged EES requirements relating to migration, including the receipt of the PUB-003 and </w:t>
            </w:r>
            <w:r w:rsidR="00780A38">
              <w:t xml:space="preserve">maintenance of the MHHS </w:t>
            </w:r>
            <w:r w:rsidR="00E35294">
              <w:t xml:space="preserve">Status </w:t>
            </w:r>
            <w:r w:rsidR="00780A38">
              <w:t xml:space="preserve">to be out of the scope of this CR. </w:t>
            </w:r>
            <w:r w:rsidR="009C3676">
              <w:t>These are included in a separate</w:t>
            </w:r>
            <w:r w:rsidR="0088250E">
              <w:t xml:space="preserve"> document D</w:t>
            </w:r>
            <w:r w:rsidR="007470D8">
              <w:t xml:space="preserve">EL974 Migration Design Requirements Log </w:t>
            </w:r>
            <w:r w:rsidR="001E548A">
              <w:t>which has been approved by the Design Advisory Group (DAG)</w:t>
            </w:r>
          </w:p>
          <w:p w14:paraId="06B3C88E" w14:textId="77777777" w:rsidR="001C0D38" w:rsidRDefault="001C0D38" w:rsidP="00BA4845">
            <w:pPr>
              <w:pStyle w:val="MHHSBody"/>
              <w:spacing w:after="20" w:line="0" w:lineRule="atLeast"/>
            </w:pPr>
          </w:p>
          <w:p w14:paraId="3A9DD265" w14:textId="77777777" w:rsidR="00906B2A" w:rsidRPr="00D310C3" w:rsidRDefault="00906B2A" w:rsidP="00906B2A">
            <w:pPr>
              <w:pStyle w:val="MHHSBody"/>
              <w:spacing w:after="20" w:line="0" w:lineRule="atLeast"/>
            </w:pPr>
            <w:r>
              <w:t>For the avoidance of doubt all existing functionality of both the EES and SDEP will remain, including all EES search functions and SDEP use cases.</w:t>
            </w:r>
          </w:p>
          <w:p w14:paraId="029A71F8" w14:textId="1F95C0AE" w:rsidR="00B0254B" w:rsidRPr="00E50124" w:rsidRDefault="00B0254B" w:rsidP="00BA4845">
            <w:pPr>
              <w:pStyle w:val="MHHSBody"/>
              <w:spacing w:after="20" w:line="0" w:lineRule="atLeast"/>
              <w:rPr>
                <w:sz w:val="16"/>
                <w:szCs w:val="16"/>
              </w:rPr>
            </w:pPr>
            <w:r w:rsidRPr="00E50124">
              <w:rPr>
                <w:szCs w:val="20"/>
              </w:rPr>
              <w:fldChar w:fldCharType="begin">
                <w:ffData>
                  <w:name w:val="Text52"/>
                  <w:enabled/>
                  <w:calcOnExit w:val="0"/>
                  <w:textInput/>
                </w:ffData>
              </w:fldChar>
            </w:r>
            <w:bookmarkStart w:id="0" w:name="Text52"/>
            <w:r w:rsidRPr="00E50124">
              <w:rPr>
                <w:szCs w:val="20"/>
              </w:rPr>
              <w:instrText xml:space="preserve"> FORMTEXT </w:instrText>
            </w:r>
            <w:r w:rsidRPr="00E50124">
              <w:rPr>
                <w:szCs w:val="20"/>
              </w:rPr>
            </w:r>
            <w:r w:rsidRPr="00E50124">
              <w:rPr>
                <w:szCs w:val="20"/>
              </w:rPr>
              <w:fldChar w:fldCharType="separate"/>
            </w:r>
            <w:r w:rsidR="00C44422">
              <w:rPr>
                <w:szCs w:val="20"/>
              </w:rPr>
              <w:t> </w:t>
            </w:r>
            <w:r w:rsidR="00C44422">
              <w:rPr>
                <w:szCs w:val="20"/>
              </w:rPr>
              <w:t> </w:t>
            </w:r>
            <w:r w:rsidR="00C44422">
              <w:rPr>
                <w:szCs w:val="20"/>
              </w:rPr>
              <w:t> </w:t>
            </w:r>
            <w:r w:rsidR="00C44422">
              <w:rPr>
                <w:szCs w:val="20"/>
              </w:rPr>
              <w:t> </w:t>
            </w:r>
            <w:r w:rsidR="00C44422">
              <w:rPr>
                <w:szCs w:val="20"/>
              </w:rPr>
              <w:t> </w:t>
            </w:r>
            <w:r w:rsidRPr="00E50124">
              <w:rPr>
                <w:szCs w:val="20"/>
              </w:rPr>
              <w:fldChar w:fldCharType="end"/>
            </w:r>
            <w:bookmarkEnd w:id="0"/>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52267C68" w:rsidR="002855CB" w:rsidRDefault="002855CB" w:rsidP="00BA4845">
            <w:pPr>
              <w:pStyle w:val="MHHSBody"/>
              <w:spacing w:after="20" w:line="0" w:lineRule="atLeast"/>
            </w:pPr>
          </w:p>
          <w:p w14:paraId="297F7255" w14:textId="695ADF75" w:rsidR="00803CF6" w:rsidRDefault="005C4B2B" w:rsidP="00BA4845">
            <w:pPr>
              <w:pStyle w:val="MHHSBody"/>
              <w:spacing w:after="20" w:line="0" w:lineRule="atLeast"/>
            </w:pPr>
            <w:r>
              <w:t>The proposed changes to the design documents are summarised below. See attached redlined design artefacts for detailed amendments.</w:t>
            </w:r>
          </w:p>
          <w:p w14:paraId="5E3B6E42" w14:textId="2901C341" w:rsidR="005C4B2B" w:rsidRDefault="005C4B2B" w:rsidP="00BA4845">
            <w:pPr>
              <w:pStyle w:val="MHHSBody"/>
              <w:spacing w:after="20" w:line="0" w:lineRule="atLeast"/>
            </w:pPr>
          </w:p>
          <w:p w14:paraId="43AC4FF5" w14:textId="2753BF11" w:rsidR="005C4B2B" w:rsidRPr="00214994" w:rsidRDefault="005C4B2B" w:rsidP="00BA4845">
            <w:pPr>
              <w:pStyle w:val="MHHSBody"/>
              <w:spacing w:after="20" w:line="0" w:lineRule="atLeast"/>
              <w:rPr>
                <w:u w:val="single"/>
              </w:rPr>
            </w:pPr>
            <w:r w:rsidRPr="00214994">
              <w:rPr>
                <w:u w:val="single"/>
              </w:rPr>
              <w:t>BRS006 ‘EES and SDEP Requirements’</w:t>
            </w:r>
          </w:p>
          <w:p w14:paraId="27D99AEC" w14:textId="77777777" w:rsidR="00F10ACD" w:rsidRDefault="00F10ACD" w:rsidP="002345D3">
            <w:pPr>
              <w:pStyle w:val="MHHSBody"/>
              <w:spacing w:after="20" w:line="0" w:lineRule="atLeast"/>
            </w:pPr>
          </w:p>
          <w:p w14:paraId="696B1923" w14:textId="653F6C24" w:rsidR="00F10ACD" w:rsidRDefault="002345D3" w:rsidP="00F10ACD">
            <w:pPr>
              <w:pStyle w:val="MHHSBody"/>
              <w:spacing w:after="20" w:line="0" w:lineRule="atLeast"/>
            </w:pPr>
            <w:r>
              <w:t>General</w:t>
            </w:r>
          </w:p>
          <w:p w14:paraId="4D24931E" w14:textId="7B6C9837" w:rsidR="00F10ACD" w:rsidRDefault="00F10ACD" w:rsidP="00F10ACD">
            <w:pPr>
              <w:pStyle w:val="MHHSBody"/>
              <w:numPr>
                <w:ilvl w:val="0"/>
                <w:numId w:val="32"/>
              </w:numPr>
              <w:spacing w:after="20" w:line="0" w:lineRule="atLeast"/>
            </w:pPr>
            <w:r>
              <w:t>Amend the title of the document to ‘EES Requirements’</w:t>
            </w:r>
          </w:p>
          <w:p w14:paraId="402C91CE" w14:textId="0E260FF9" w:rsidR="00F10ACD" w:rsidRDefault="00B27BCB" w:rsidP="00F10ACD">
            <w:pPr>
              <w:pStyle w:val="MHHSBody"/>
              <w:numPr>
                <w:ilvl w:val="0"/>
                <w:numId w:val="32"/>
              </w:numPr>
              <w:spacing w:after="20" w:line="0" w:lineRule="atLeast"/>
            </w:pPr>
            <w:r>
              <w:t xml:space="preserve">Remove the reference to this document being for ‘Guidance </w:t>
            </w:r>
            <w:proofErr w:type="gramStart"/>
            <w:r>
              <w:t>Only’</w:t>
            </w:r>
            <w:proofErr w:type="gramEnd"/>
          </w:p>
          <w:p w14:paraId="46EB151B" w14:textId="77777777" w:rsidR="00B27BCB" w:rsidRDefault="00B27BCB" w:rsidP="00BA4845">
            <w:pPr>
              <w:pStyle w:val="MHHSBody"/>
              <w:spacing w:after="20" w:line="0" w:lineRule="atLeast"/>
            </w:pPr>
          </w:p>
          <w:p w14:paraId="52D5B5C2" w14:textId="7E7AC52C" w:rsidR="00766A8D" w:rsidRDefault="00766A8D" w:rsidP="002345D3">
            <w:pPr>
              <w:pStyle w:val="MHHSBody"/>
              <w:spacing w:after="20" w:line="0" w:lineRule="atLeast"/>
            </w:pPr>
            <w:r>
              <w:t>EES Requirements.</w:t>
            </w:r>
          </w:p>
          <w:p w14:paraId="2792405D" w14:textId="3C4E2ECA" w:rsidR="005C4B2B" w:rsidRDefault="005C4B2B" w:rsidP="002345D3">
            <w:pPr>
              <w:pStyle w:val="MHHSBody"/>
              <w:numPr>
                <w:ilvl w:val="0"/>
                <w:numId w:val="30"/>
              </w:numPr>
              <w:spacing w:after="20" w:line="0" w:lineRule="atLeast"/>
            </w:pPr>
            <w:r>
              <w:t>Reference to the DIP EZ Name to be removed.</w:t>
            </w:r>
          </w:p>
          <w:p w14:paraId="6158F132" w14:textId="05F0A2E0" w:rsidR="005C4B2B" w:rsidRDefault="005C4B2B" w:rsidP="002345D3">
            <w:pPr>
              <w:pStyle w:val="MHHSBody"/>
              <w:numPr>
                <w:ilvl w:val="0"/>
                <w:numId w:val="30"/>
              </w:numPr>
              <w:spacing w:after="20" w:line="0" w:lineRule="atLeast"/>
            </w:pPr>
            <w:r w:rsidRPr="005C4B2B">
              <w:t>Remove requirement to allow searches by Meter Serial Number and MPAN</w:t>
            </w:r>
            <w:r w:rsidR="00963BF2">
              <w:t>.</w:t>
            </w:r>
          </w:p>
          <w:p w14:paraId="63511786" w14:textId="3EECD9C7" w:rsidR="005C4B2B" w:rsidRDefault="005C4B2B" w:rsidP="002345D3">
            <w:pPr>
              <w:pStyle w:val="MHHSBody"/>
              <w:numPr>
                <w:ilvl w:val="0"/>
                <w:numId w:val="30"/>
              </w:numPr>
              <w:spacing w:after="20" w:line="0" w:lineRule="atLeast"/>
            </w:pPr>
            <w:r>
              <w:t xml:space="preserve">Remove requirement to </w:t>
            </w:r>
            <w:r w:rsidR="00226C63">
              <w:t>allow searches by Meter Type and Manufacturer</w:t>
            </w:r>
          </w:p>
          <w:p w14:paraId="1F6B8302" w14:textId="0E87E26F" w:rsidR="00766A8D" w:rsidRDefault="00766A8D" w:rsidP="002345D3">
            <w:pPr>
              <w:pStyle w:val="MHHSBody"/>
              <w:numPr>
                <w:ilvl w:val="0"/>
                <w:numId w:val="30"/>
              </w:numPr>
              <w:spacing w:after="20" w:line="0" w:lineRule="atLeast"/>
            </w:pPr>
            <w:r>
              <w:t>Remove requirements around possible reporting to be provided to support DIP Initialisation.</w:t>
            </w:r>
          </w:p>
          <w:p w14:paraId="0583C0CC" w14:textId="2C16906B" w:rsidR="003817CA" w:rsidRDefault="00893296" w:rsidP="002345D3">
            <w:pPr>
              <w:pStyle w:val="MHHSBody"/>
              <w:numPr>
                <w:ilvl w:val="0"/>
                <w:numId w:val="30"/>
              </w:numPr>
              <w:spacing w:after="20" w:line="0" w:lineRule="atLeast"/>
            </w:pPr>
            <w:r>
              <w:t xml:space="preserve">Add clarity to requirements around </w:t>
            </w:r>
            <w:r w:rsidR="00A56301">
              <w:t xml:space="preserve">timings of EES updates so that this is dependent on the updated information being available on the </w:t>
            </w:r>
            <w:proofErr w:type="gramStart"/>
            <w:r w:rsidR="00A56301">
              <w:t>DIP</w:t>
            </w:r>
            <w:proofErr w:type="gramEnd"/>
          </w:p>
          <w:p w14:paraId="0687CE79" w14:textId="25070381" w:rsidR="005F5659" w:rsidRDefault="00766A8D" w:rsidP="005F5659">
            <w:pPr>
              <w:pStyle w:val="MHHSBody"/>
              <w:numPr>
                <w:ilvl w:val="0"/>
                <w:numId w:val="30"/>
              </w:numPr>
              <w:spacing w:after="20" w:line="0" w:lineRule="atLeast"/>
            </w:pPr>
            <w:r>
              <w:t>Remove reference to</w:t>
            </w:r>
            <w:r w:rsidR="00963BF2">
              <w:t xml:space="preserve"> EES receiving</w:t>
            </w:r>
            <w:r>
              <w:t xml:space="preserve"> the PUB-001</w:t>
            </w:r>
          </w:p>
          <w:p w14:paraId="51ECBF9F" w14:textId="7BCD68FD" w:rsidR="003817CA" w:rsidRDefault="005F5659" w:rsidP="003817CA">
            <w:pPr>
              <w:pStyle w:val="MHHSBody"/>
              <w:numPr>
                <w:ilvl w:val="0"/>
                <w:numId w:val="30"/>
              </w:numPr>
              <w:spacing w:after="20" w:line="0" w:lineRule="atLeast"/>
            </w:pPr>
            <w:r>
              <w:t>Remove reference to EES receiving the PUB-0</w:t>
            </w:r>
            <w:r w:rsidR="00515949">
              <w:t>35</w:t>
            </w:r>
          </w:p>
          <w:p w14:paraId="67A3B91F" w14:textId="2778E256" w:rsidR="009A174A" w:rsidRDefault="009A174A" w:rsidP="003817CA">
            <w:pPr>
              <w:pStyle w:val="MHHSBody"/>
              <w:numPr>
                <w:ilvl w:val="0"/>
                <w:numId w:val="30"/>
              </w:numPr>
              <w:spacing w:after="20" w:line="0" w:lineRule="atLeast"/>
            </w:pPr>
            <w:r>
              <w:t>Add a requirement for EES to be able to receive the PUB-</w:t>
            </w:r>
            <w:r w:rsidR="002A4221">
              <w:t xml:space="preserve">047 </w:t>
            </w:r>
            <w:r w:rsidR="00B3370B">
              <w:t>and obtain the updated ISD tables.</w:t>
            </w:r>
          </w:p>
          <w:p w14:paraId="5BE30843" w14:textId="38500ED9" w:rsidR="00B27BCB" w:rsidRDefault="005E330F" w:rsidP="002345D3">
            <w:pPr>
              <w:pStyle w:val="MHHSBody"/>
              <w:numPr>
                <w:ilvl w:val="0"/>
                <w:numId w:val="30"/>
              </w:numPr>
              <w:spacing w:after="20" w:line="0" w:lineRule="atLeast"/>
            </w:pPr>
            <w:r>
              <w:t>Remove reference to</w:t>
            </w:r>
            <w:r w:rsidR="00C43C6D">
              <w:t xml:space="preserve"> ECOES which is the pre-faster switching name for the EES.</w:t>
            </w:r>
            <w:r w:rsidR="00766A8D">
              <w:t xml:space="preserve"> </w:t>
            </w:r>
          </w:p>
          <w:p w14:paraId="38C31F2E" w14:textId="308FFD5B" w:rsidR="00B27BCB" w:rsidRDefault="00B27BCB" w:rsidP="00B27BCB">
            <w:pPr>
              <w:pStyle w:val="MHHSBody"/>
              <w:spacing w:after="20" w:line="0" w:lineRule="atLeast"/>
            </w:pPr>
          </w:p>
          <w:p w14:paraId="1EF75724" w14:textId="31F495F5" w:rsidR="00B27BCB" w:rsidRPr="00214994" w:rsidRDefault="00B27BCB" w:rsidP="00B27BCB">
            <w:pPr>
              <w:pStyle w:val="MHHSBody"/>
              <w:spacing w:after="20" w:line="0" w:lineRule="atLeast"/>
            </w:pPr>
            <w:r w:rsidRPr="00214994">
              <w:t>SDEP Requirements</w:t>
            </w:r>
          </w:p>
          <w:p w14:paraId="37BC6943" w14:textId="697CB6FE" w:rsidR="00F10ACD" w:rsidRDefault="00B27BCB" w:rsidP="00F10ACD">
            <w:pPr>
              <w:pStyle w:val="MHHSBody"/>
              <w:numPr>
                <w:ilvl w:val="0"/>
                <w:numId w:val="30"/>
              </w:numPr>
              <w:spacing w:after="20" w:line="0" w:lineRule="atLeast"/>
            </w:pPr>
            <w:r>
              <w:t>Remove all SDEP Requirements</w:t>
            </w:r>
          </w:p>
          <w:p w14:paraId="6A1305AC" w14:textId="76CD816E" w:rsidR="00B27BCB" w:rsidRDefault="00B27BCB" w:rsidP="00B27BCB">
            <w:pPr>
              <w:pStyle w:val="MHHSBody"/>
              <w:spacing w:after="20" w:line="0" w:lineRule="atLeast"/>
            </w:pPr>
          </w:p>
          <w:p w14:paraId="44EB5305" w14:textId="753F1E07" w:rsidR="00B27BCB" w:rsidRDefault="002345D3" w:rsidP="00B27BCB">
            <w:pPr>
              <w:pStyle w:val="MHHSBody"/>
              <w:spacing w:after="20" w:line="0" w:lineRule="atLeast"/>
              <w:rPr>
                <w:u w:val="single"/>
              </w:rPr>
            </w:pPr>
            <w:r w:rsidRPr="00214994">
              <w:rPr>
                <w:u w:val="single"/>
              </w:rPr>
              <w:lastRenderedPageBreak/>
              <w:t>DES 138 ‘Interface Catalogue’</w:t>
            </w:r>
          </w:p>
          <w:p w14:paraId="682AC98C" w14:textId="5C70066A" w:rsidR="00214994" w:rsidRDefault="00214994" w:rsidP="00214994">
            <w:pPr>
              <w:pStyle w:val="MHHSBody"/>
              <w:spacing w:after="20" w:line="0" w:lineRule="atLeast"/>
            </w:pPr>
          </w:p>
          <w:p w14:paraId="50B2F151" w14:textId="66544A99" w:rsidR="00214994" w:rsidRDefault="00214994" w:rsidP="00214994">
            <w:pPr>
              <w:pStyle w:val="MHHSBody"/>
              <w:numPr>
                <w:ilvl w:val="0"/>
                <w:numId w:val="30"/>
              </w:numPr>
              <w:spacing w:after="20" w:line="0" w:lineRule="atLeast"/>
            </w:pPr>
            <w:r>
              <w:t xml:space="preserve">Remove EES as a recipient </w:t>
            </w:r>
            <w:r w:rsidR="00D4327F">
              <w:t>of</w:t>
            </w:r>
            <w:r>
              <w:t xml:space="preserve"> the IF-001</w:t>
            </w:r>
            <w:r w:rsidR="00D4327F">
              <w:t xml:space="preserve"> / PUB-001</w:t>
            </w:r>
          </w:p>
          <w:p w14:paraId="6C679322" w14:textId="2BD8DF87" w:rsidR="00CB4990" w:rsidRDefault="00CB4990" w:rsidP="00214994">
            <w:pPr>
              <w:pStyle w:val="MHHSBody"/>
              <w:numPr>
                <w:ilvl w:val="0"/>
                <w:numId w:val="30"/>
              </w:numPr>
              <w:spacing w:after="20" w:line="0" w:lineRule="atLeast"/>
            </w:pPr>
            <w:r>
              <w:t xml:space="preserve">Update the </w:t>
            </w:r>
            <w:r w:rsidR="00F359FF">
              <w:t>IF List to remove EES as a recipient of the IF-001/PUB-001 and IF-035</w:t>
            </w:r>
            <w:r w:rsidR="003817CA">
              <w:t>/PUB-035</w:t>
            </w:r>
            <w:r w:rsidR="006B1D42">
              <w:t xml:space="preserve"> a</w:t>
            </w:r>
            <w:r w:rsidR="005303B4">
              <w:t>nd add EES as an always recipient of the IF-047</w:t>
            </w:r>
          </w:p>
          <w:p w14:paraId="312F3441" w14:textId="7AF46738" w:rsidR="00214994" w:rsidRDefault="00214994" w:rsidP="00214994">
            <w:pPr>
              <w:pStyle w:val="MHHSBody"/>
              <w:spacing w:after="20" w:line="0" w:lineRule="atLeast"/>
            </w:pPr>
          </w:p>
          <w:p w14:paraId="0D28C5BC" w14:textId="469D0BBC" w:rsidR="00214994" w:rsidRPr="00214994" w:rsidRDefault="00214994" w:rsidP="00214994">
            <w:pPr>
              <w:pStyle w:val="MHHSBody"/>
              <w:spacing w:after="20" w:line="0" w:lineRule="atLeast"/>
              <w:rPr>
                <w:u w:val="single"/>
              </w:rPr>
            </w:pPr>
            <w:r w:rsidRPr="00214994">
              <w:rPr>
                <w:u w:val="single"/>
              </w:rPr>
              <w:t>BP001</w:t>
            </w:r>
            <w:r>
              <w:rPr>
                <w:u w:val="single"/>
              </w:rPr>
              <w:t xml:space="preserve"> / </w:t>
            </w:r>
            <w:r w:rsidR="00F10ACD">
              <w:rPr>
                <w:u w:val="single"/>
              </w:rPr>
              <w:t>BPD</w:t>
            </w:r>
            <w:proofErr w:type="gramStart"/>
            <w:r w:rsidR="00F10ACD">
              <w:rPr>
                <w:u w:val="single"/>
              </w:rPr>
              <w:t>001</w:t>
            </w:r>
            <w:r>
              <w:rPr>
                <w:u w:val="single"/>
              </w:rPr>
              <w:t xml:space="preserve"> </w:t>
            </w:r>
            <w:r w:rsidRPr="00214994">
              <w:rPr>
                <w:u w:val="single"/>
              </w:rPr>
              <w:t xml:space="preserve"> Change</w:t>
            </w:r>
            <w:proofErr w:type="gramEnd"/>
            <w:r w:rsidRPr="00214994">
              <w:rPr>
                <w:u w:val="single"/>
              </w:rPr>
              <w:t xml:space="preserve"> of Supply</w:t>
            </w:r>
          </w:p>
          <w:p w14:paraId="302859BC" w14:textId="77777777" w:rsidR="00214994" w:rsidRPr="00214994" w:rsidRDefault="00214994" w:rsidP="00214994">
            <w:pPr>
              <w:pStyle w:val="MHHSBody"/>
              <w:spacing w:after="20" w:line="0" w:lineRule="atLeast"/>
            </w:pPr>
          </w:p>
          <w:p w14:paraId="65811BD9" w14:textId="0D4A7A42" w:rsidR="00214994" w:rsidRDefault="00214994" w:rsidP="00214994">
            <w:pPr>
              <w:pStyle w:val="MHHSBody"/>
              <w:numPr>
                <w:ilvl w:val="0"/>
                <w:numId w:val="30"/>
              </w:numPr>
              <w:spacing w:after="20" w:line="0" w:lineRule="atLeast"/>
            </w:pPr>
            <w:r>
              <w:t xml:space="preserve">Remove the IF-001 feed into Step 180 ‘EES Receives New Supplier Details’. </w:t>
            </w:r>
            <w:proofErr w:type="gramStart"/>
            <w:r>
              <w:t>Instead</w:t>
            </w:r>
            <w:proofErr w:type="gramEnd"/>
            <w:r>
              <w:t xml:space="preserve"> the CSS2</w:t>
            </w:r>
            <w:r w:rsidR="006C60DE">
              <w:t>460</w:t>
            </w:r>
            <w:r>
              <w:t xml:space="preserve"> from the CSS should be routed into this step.</w:t>
            </w:r>
          </w:p>
          <w:p w14:paraId="33A72EAA" w14:textId="188A8FCC" w:rsidR="00214994" w:rsidRDefault="00214994" w:rsidP="00214994">
            <w:pPr>
              <w:pStyle w:val="MHHSBody"/>
              <w:numPr>
                <w:ilvl w:val="0"/>
                <w:numId w:val="30"/>
              </w:numPr>
              <w:spacing w:after="20" w:line="0" w:lineRule="atLeast"/>
            </w:pPr>
            <w:r>
              <w:t>Amend the Business Process description for Step 180 to state that EES is updated via the CSS rather than the DIP.</w:t>
            </w:r>
          </w:p>
          <w:p w14:paraId="193F0008" w14:textId="16BB4D0B" w:rsidR="00D07618" w:rsidRDefault="00D07618" w:rsidP="00790171">
            <w:pPr>
              <w:pStyle w:val="MHHSBody"/>
            </w:pPr>
          </w:p>
        </w:tc>
      </w:tr>
      <w:tr w:rsidR="009D5B37" w14:paraId="3C8E66E6" w14:textId="77777777" w:rsidTr="00E620EC">
        <w:trPr>
          <w:trHeight w:val="1515"/>
        </w:trPr>
        <w:tc>
          <w:tcPr>
            <w:tcW w:w="10680" w:type="dxa"/>
            <w:gridSpan w:val="2"/>
            <w:vAlign w:val="top"/>
          </w:tcPr>
          <w:p w14:paraId="7829576B" w14:textId="738F978D" w:rsidR="00F10ACD" w:rsidRPr="00F10ACD" w:rsidRDefault="00B86D2D" w:rsidP="00F10ACD">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2FEEA3F2" w14:textId="4944B005" w:rsidR="00F10ACD" w:rsidRDefault="00F10ACD" w:rsidP="00790171">
            <w:pPr>
              <w:pStyle w:val="MHHSBody"/>
            </w:pPr>
            <w:r>
              <w:t>The EES and SDEP Requirements document form part of the baselined design and to</w:t>
            </w:r>
            <w:r w:rsidR="006B74B1">
              <w:t xml:space="preserve"> ensure that participants have clarity on what to expect from EES</w:t>
            </w:r>
            <w:r w:rsidR="00753743">
              <w:t xml:space="preserve"> with</w:t>
            </w:r>
            <w:r w:rsidR="00FE6CFE">
              <w:t>in</w:t>
            </w:r>
            <w:r w:rsidR="00753743">
              <w:t xml:space="preserve"> the MHHS market</w:t>
            </w:r>
            <w:r w:rsidR="00EE14B0">
              <w:t>,</w:t>
            </w:r>
            <w:r w:rsidR="006B74B1">
              <w:t xml:space="preserve"> should be updated to accurately reflect what EES will deliver.</w:t>
            </w:r>
          </w:p>
          <w:p w14:paraId="3EE68153" w14:textId="2D743586" w:rsidR="006B74B1" w:rsidRDefault="006B74B1" w:rsidP="00790171">
            <w:pPr>
              <w:pStyle w:val="MHHSBody"/>
            </w:pPr>
            <w:r>
              <w:t>The ‘for guidance’ nature of EES and SDEP Requirements document adds ambiguity and once it is aligned with the EES design this label should be removed with the document forming firm requirements on EES.</w:t>
            </w:r>
          </w:p>
          <w:p w14:paraId="11B0849C" w14:textId="17CC1006" w:rsidR="006B74B1" w:rsidRDefault="006B74B1" w:rsidP="00790171">
            <w:pPr>
              <w:pStyle w:val="MHHSBody"/>
            </w:pPr>
            <w:r>
              <w:t xml:space="preserve">There are </w:t>
            </w:r>
            <w:proofErr w:type="gramStart"/>
            <w:r>
              <w:t>a number of</w:t>
            </w:r>
            <w:proofErr w:type="gramEnd"/>
            <w:r>
              <w:t xml:space="preserve"> individual justifications for items of change as f</w:t>
            </w:r>
            <w:r w:rsidR="00AF7609">
              <w:t>ollows:</w:t>
            </w:r>
          </w:p>
          <w:p w14:paraId="0A8F82AF" w14:textId="698B8B37" w:rsidR="00AF7609" w:rsidRDefault="00AF7609" w:rsidP="00CE7475">
            <w:pPr>
              <w:pStyle w:val="MHHSBody"/>
              <w:numPr>
                <w:ilvl w:val="0"/>
                <w:numId w:val="33"/>
              </w:numPr>
            </w:pPr>
            <w:r>
              <w:t>Re-alignment to the current version of the MHHS design. This covers removal of reference</w:t>
            </w:r>
            <w:r w:rsidR="00322F8D">
              <w:t>s</w:t>
            </w:r>
            <w:r>
              <w:t xml:space="preserve"> to the DIP EZ </w:t>
            </w:r>
            <w:proofErr w:type="gramStart"/>
            <w:r>
              <w:t>Name</w:t>
            </w:r>
            <w:r w:rsidR="009A174A">
              <w:t>,</w:t>
            </w:r>
            <w:r>
              <w:t xml:space="preserve">  possible</w:t>
            </w:r>
            <w:proofErr w:type="gramEnd"/>
            <w:r>
              <w:t xml:space="preserve"> uses for EES reporting</w:t>
            </w:r>
            <w:r w:rsidR="00322F8D">
              <w:t xml:space="preserve">, and </w:t>
            </w:r>
            <w:r w:rsidR="004965D8">
              <w:t xml:space="preserve">the IF-035. It also covers an additional requirement </w:t>
            </w:r>
            <w:r w:rsidR="00122E89">
              <w:t xml:space="preserve">on obtaining updated ISD </w:t>
            </w:r>
            <w:proofErr w:type="gramStart"/>
            <w:r w:rsidR="00122E89">
              <w:t>information</w:t>
            </w:r>
            <w:proofErr w:type="gramEnd"/>
          </w:p>
          <w:p w14:paraId="23F7C51B" w14:textId="1C2A4DFE" w:rsidR="00323508" w:rsidRDefault="00323508" w:rsidP="00CE7475">
            <w:pPr>
              <w:pStyle w:val="MHHSBody"/>
              <w:numPr>
                <w:ilvl w:val="0"/>
                <w:numId w:val="33"/>
              </w:numPr>
            </w:pPr>
            <w:r>
              <w:t>The current requirements on</w:t>
            </w:r>
            <w:r w:rsidR="00122E89">
              <w:t xml:space="preserve"> the</w:t>
            </w:r>
            <w:r>
              <w:t xml:space="preserve"> EES update</w:t>
            </w:r>
            <w:r w:rsidR="005D3A8C">
              <w:t xml:space="preserve"> minimum timings</w:t>
            </w:r>
            <w:r>
              <w:t xml:space="preserve"> make no reference to the data being available</w:t>
            </w:r>
            <w:r w:rsidR="0024772E">
              <w:t xml:space="preserve"> on the DIP</w:t>
            </w:r>
            <w:r>
              <w:t>, this has been corrected</w:t>
            </w:r>
            <w:r w:rsidR="00122E89">
              <w:t>.</w:t>
            </w:r>
          </w:p>
          <w:p w14:paraId="763C42C1" w14:textId="33023977" w:rsidR="00AF7609" w:rsidRDefault="00AF7609" w:rsidP="00CE7475">
            <w:pPr>
              <w:pStyle w:val="MHHSBody"/>
              <w:numPr>
                <w:ilvl w:val="0"/>
                <w:numId w:val="33"/>
              </w:numPr>
            </w:pPr>
            <w:r>
              <w:t>Cleaning up the text in the requirements to reflect that this is now a formal requirements document. This covers the removal of reference</w:t>
            </w:r>
            <w:r w:rsidR="00FF5C6B">
              <w:t>s</w:t>
            </w:r>
            <w:r>
              <w:t xml:space="preserve"> to existing requirements such as MPAN and Meter ID searches</w:t>
            </w:r>
            <w:r w:rsidR="00BA69FB">
              <w:t>.</w:t>
            </w:r>
            <w:r>
              <w:t xml:space="preserve"> </w:t>
            </w:r>
          </w:p>
          <w:p w14:paraId="403DFD47" w14:textId="4D81FB7A" w:rsidR="003E3C00" w:rsidRDefault="003E3C00" w:rsidP="00CE7475">
            <w:pPr>
              <w:pStyle w:val="MHHSBody"/>
              <w:numPr>
                <w:ilvl w:val="0"/>
                <w:numId w:val="33"/>
              </w:numPr>
            </w:pPr>
            <w:r>
              <w:t xml:space="preserve">Removing references to existing requirements or </w:t>
            </w:r>
            <w:r w:rsidR="006B3614">
              <w:t xml:space="preserve">requirements that </w:t>
            </w:r>
            <w:r w:rsidR="000E25CC">
              <w:t xml:space="preserve">are not justified under </w:t>
            </w:r>
            <w:r w:rsidR="006B3614">
              <w:t>consequential change. This covers the removal of requirements speaking to</w:t>
            </w:r>
            <w:r w:rsidR="00835D2F">
              <w:t xml:space="preserve"> EES search functionality.</w:t>
            </w:r>
          </w:p>
          <w:p w14:paraId="5BFBA312" w14:textId="79D77754" w:rsidR="00AF7609" w:rsidRDefault="00AF7609" w:rsidP="00CE7475">
            <w:pPr>
              <w:pStyle w:val="MHHSBody"/>
              <w:numPr>
                <w:ilvl w:val="0"/>
                <w:numId w:val="33"/>
              </w:numPr>
            </w:pPr>
            <w:r>
              <w:t>A design decision was made during the EES design phase that it would be more efficient for EES to source change of Supplier updates direct from</w:t>
            </w:r>
            <w:r w:rsidR="000713F2">
              <w:t xml:space="preserve"> the</w:t>
            </w:r>
            <w:r>
              <w:t xml:space="preserve"> existing</w:t>
            </w:r>
            <w:r w:rsidR="001348BB">
              <w:t xml:space="preserve"> Central Switching Service</w:t>
            </w:r>
            <w:r>
              <w:t xml:space="preserve"> </w:t>
            </w:r>
            <w:r w:rsidR="001348BB">
              <w:t>(</w:t>
            </w:r>
            <w:r>
              <w:t>CSS</w:t>
            </w:r>
            <w:r w:rsidR="001348BB">
              <w:t>)</w:t>
            </w:r>
            <w:r>
              <w:t xml:space="preserve"> interfaces rather than having the information passed on</w:t>
            </w:r>
            <w:r w:rsidR="001348BB">
              <w:t xml:space="preserve"> from</w:t>
            </w:r>
            <w:r>
              <w:t xml:space="preserve"> the Registration Service. It was felt that this would allow EES to be updated closer to real time and reduce processing risk.</w:t>
            </w:r>
            <w:r w:rsidR="000713F2">
              <w:t xml:space="preserve"> As such it is suggested that reference to the IF-001 / PUB-001 should be removed from the EES requirements.</w:t>
            </w:r>
          </w:p>
          <w:p w14:paraId="706427FC" w14:textId="3BF8BD75" w:rsidR="00CE7475" w:rsidRDefault="00CE7475" w:rsidP="00CE7475">
            <w:pPr>
              <w:pStyle w:val="MHHSBody"/>
              <w:numPr>
                <w:ilvl w:val="0"/>
                <w:numId w:val="33"/>
              </w:numPr>
            </w:pPr>
            <w:r>
              <w:t xml:space="preserve">The CR also seeks to remove references to the legacy ‘ECOES’ terminology, with a note in the </w:t>
            </w:r>
            <w:r w:rsidR="00210B47">
              <w:t>coversheet confirming EES is the new</w:t>
            </w:r>
            <w:r w:rsidR="00EB7462">
              <w:t xml:space="preserve"> name</w:t>
            </w:r>
            <w:r w:rsidR="00210B47">
              <w:t xml:space="preserve"> for the service previously known as ECOES.</w:t>
            </w:r>
          </w:p>
          <w:p w14:paraId="55F88991" w14:textId="52E9EEBE" w:rsidR="00AF7609" w:rsidRDefault="00AF7609" w:rsidP="00CE7475">
            <w:pPr>
              <w:pStyle w:val="MHHSBody"/>
              <w:numPr>
                <w:ilvl w:val="0"/>
                <w:numId w:val="33"/>
              </w:numPr>
            </w:pPr>
            <w:r>
              <w:t xml:space="preserve">The requirement to update SDEP to be used in MHHS processes was discussed </w:t>
            </w:r>
            <w:r w:rsidR="001A604A">
              <w:t xml:space="preserve">at the Consequential Change Impact Assessment Group (CCIAG) in February 2023, this group agreed that no changes to SDEP functionality are required to support delivery of MHHS arrangements. </w:t>
            </w:r>
            <w:proofErr w:type="gramStart"/>
            <w:r w:rsidR="001A604A">
              <w:t>In particular it</w:t>
            </w:r>
            <w:proofErr w:type="gramEnd"/>
            <w:r w:rsidR="001A604A">
              <w:t xml:space="preserve"> was agreed that:</w:t>
            </w:r>
          </w:p>
          <w:p w14:paraId="7378CF87" w14:textId="59C676DF" w:rsidR="001A604A" w:rsidRDefault="001A604A" w:rsidP="00CE7475">
            <w:pPr>
              <w:pStyle w:val="MHHSBody"/>
              <w:numPr>
                <w:ilvl w:val="1"/>
                <w:numId w:val="33"/>
              </w:numPr>
            </w:pPr>
            <w:r>
              <w:t xml:space="preserve">There was no current requirement for the introduction of new use cases involving Data Services (which would require all Data Services to become SDEP Users). If issues are identified in live operations, a change could be progressed to add Data Services as SDEP Users via the REC change </w:t>
            </w:r>
            <w:proofErr w:type="gramStart"/>
            <w:r>
              <w:t>process</w:t>
            </w:r>
            <w:proofErr w:type="gramEnd"/>
          </w:p>
          <w:p w14:paraId="2DCB4086" w14:textId="6D92DB33" w:rsidR="001A604A" w:rsidRDefault="001A604A" w:rsidP="00CE7475">
            <w:pPr>
              <w:pStyle w:val="MHHSBody"/>
              <w:numPr>
                <w:ilvl w:val="1"/>
                <w:numId w:val="33"/>
              </w:numPr>
            </w:pPr>
            <w:r>
              <w:t>The use case relating to Meter Technical Details queries is currently being considered via REC Change Proposal R0006 - Missing Meter Technical Details and does not require further consideration as an MHHS consequential change.</w:t>
            </w:r>
          </w:p>
          <w:p w14:paraId="35F01310" w14:textId="2887EFCE" w:rsidR="001A604A" w:rsidRDefault="001A604A" w:rsidP="00CE7475">
            <w:pPr>
              <w:pStyle w:val="MHHSBody"/>
              <w:numPr>
                <w:ilvl w:val="1"/>
                <w:numId w:val="33"/>
              </w:numPr>
            </w:pPr>
            <w:r>
              <w:t>Queries relating to Import/Export linkage and Registration data updates can utilise existing SDEP Message ‘MPAS Error Resolution Query’.</w:t>
            </w:r>
          </w:p>
          <w:p w14:paraId="2F672A8B" w14:textId="3CE0720D" w:rsidR="00B5165A" w:rsidRDefault="001A604A" w:rsidP="00B5165A">
            <w:pPr>
              <w:pStyle w:val="MHHSBody"/>
              <w:ind w:left="720"/>
            </w:pPr>
            <w:r>
              <w:t>The decision to not add any additional MHHS functionality into the SDEP was subsequently confirmed at the REC Market-wide Half Hourly Stakeholder Advisory Group (MSAG)</w:t>
            </w:r>
            <w:r w:rsidR="00F04449">
              <w:t xml:space="preserve"> in March 2023.</w:t>
            </w:r>
          </w:p>
          <w:p w14:paraId="55446974" w14:textId="62191AE3" w:rsidR="00D07618" w:rsidRDefault="007560FE" w:rsidP="00790171">
            <w:pPr>
              <w:pStyle w:val="MHHSBody"/>
            </w:pPr>
            <w:r>
              <w:fldChar w:fldCharType="begin">
                <w:ffData>
                  <w:name w:val="Text7"/>
                  <w:enabled/>
                  <w:calcOnExit w:val="0"/>
                  <w:textInput/>
                </w:ffData>
              </w:fldChar>
            </w:r>
            <w:bookmarkStart w:id="1" w:name="Text7"/>
            <w:r>
              <w:instrText xml:space="preserve"> FORMTEXT </w:instrText>
            </w:r>
            <w:r>
              <w:fldChar w:fldCharType="separate"/>
            </w:r>
            <w:r w:rsidR="007344D3">
              <w:rPr>
                <w:noProof/>
              </w:rPr>
              <w:t> </w:t>
            </w:r>
            <w:r w:rsidR="007344D3">
              <w:rPr>
                <w:noProof/>
              </w:rPr>
              <w:t> </w:t>
            </w:r>
            <w:r w:rsidR="007344D3">
              <w:rPr>
                <w:noProof/>
              </w:rPr>
              <w:t> </w:t>
            </w:r>
            <w:r w:rsidR="007344D3">
              <w:rPr>
                <w:noProof/>
              </w:rPr>
              <w:t> </w:t>
            </w:r>
            <w:r w:rsidR="007344D3">
              <w:rPr>
                <w:noProof/>
              </w:rPr>
              <w:t> </w:t>
            </w:r>
            <w:r>
              <w:fldChar w:fldCharType="end"/>
            </w:r>
            <w:bookmarkEnd w:id="1"/>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lastRenderedPageBreak/>
              <w:t>Consequences of no change</w:t>
            </w:r>
            <w:r w:rsidR="0058313A" w:rsidRPr="00960D82">
              <w:rPr>
                <w:b/>
                <w:bCs/>
              </w:rPr>
              <w:t>:</w:t>
            </w:r>
          </w:p>
          <w:p w14:paraId="144D6504" w14:textId="07F2A83B" w:rsidR="00BA4845" w:rsidRPr="00960D82" w:rsidRDefault="00BA4845" w:rsidP="00BA4845">
            <w:pPr>
              <w:pStyle w:val="MHHSBody"/>
              <w:spacing w:after="20" w:line="0" w:lineRule="atLeast"/>
              <w:rPr>
                <w:i/>
                <w:iCs/>
                <w:sz w:val="16"/>
                <w:szCs w:val="16"/>
              </w:rPr>
            </w:pPr>
            <w:r w:rsidRPr="00960D82">
              <w:rPr>
                <w:i/>
                <w:iCs/>
                <w:sz w:val="16"/>
                <w:szCs w:val="16"/>
              </w:rPr>
              <w:t>(</w:t>
            </w:r>
            <w:proofErr w:type="gramStart"/>
            <w:r w:rsidRPr="00960D82">
              <w:rPr>
                <w:i/>
                <w:iCs/>
                <w:sz w:val="16"/>
                <w:szCs w:val="16"/>
              </w:rPr>
              <w:t>what</w:t>
            </w:r>
            <w:proofErr w:type="gramEnd"/>
            <w:r w:rsidRPr="00960D82">
              <w:rPr>
                <w:i/>
                <w:iCs/>
                <w:sz w:val="16"/>
                <w:szCs w:val="16"/>
              </w:rPr>
              <w:t xml:space="preserve"> is the consequence of no change)</w:t>
            </w:r>
          </w:p>
          <w:p w14:paraId="7C461C34" w14:textId="403E3288" w:rsidR="001A604A" w:rsidRDefault="001A604A" w:rsidP="00BA4845">
            <w:pPr>
              <w:pStyle w:val="MHHSBody"/>
            </w:pPr>
            <w:r>
              <w:t xml:space="preserve">Not updating the EES and SDEP Requirements will create a misalignment between the MHHS ‘for guidance’ requirements and what is </w:t>
            </w:r>
            <w:proofErr w:type="gramStart"/>
            <w:r>
              <w:t>actually being</w:t>
            </w:r>
            <w:proofErr w:type="gramEnd"/>
            <w:r>
              <w:t xml:space="preserve"> delivered. This will cause confusion amongst industry participants.</w:t>
            </w:r>
          </w:p>
          <w:p w14:paraId="3E0E64A4" w14:textId="7B2602CB" w:rsidR="00D07618" w:rsidRPr="00960D82" w:rsidRDefault="007560FE" w:rsidP="00BA4845">
            <w:pPr>
              <w:pStyle w:val="MHHSBody"/>
            </w:pPr>
            <w:r w:rsidRPr="00960D82">
              <w:fldChar w:fldCharType="begin">
                <w:ffData>
                  <w:name w:val="Text8"/>
                  <w:enabled/>
                  <w:calcOnExit w:val="0"/>
                  <w:textInput/>
                </w:ffData>
              </w:fldChar>
            </w:r>
            <w:bookmarkStart w:id="2" w:name="Text8"/>
            <w:r w:rsidRPr="00960D82">
              <w:instrText xml:space="preserve"> FORMTEXT </w:instrText>
            </w:r>
            <w:r w:rsidRPr="00960D82">
              <w:fldChar w:fldCharType="separate"/>
            </w:r>
            <w:r w:rsidRPr="00960D82">
              <w:rPr>
                <w:noProof/>
              </w:rPr>
              <w:t> </w:t>
            </w:r>
            <w:r w:rsidRPr="00960D82">
              <w:rPr>
                <w:noProof/>
              </w:rPr>
              <w:t> </w:t>
            </w:r>
            <w:r w:rsidRPr="00960D82">
              <w:rPr>
                <w:noProof/>
              </w:rPr>
              <w:t> </w:t>
            </w:r>
            <w:r w:rsidRPr="00960D82">
              <w:rPr>
                <w:noProof/>
              </w:rPr>
              <w:t> </w:t>
            </w:r>
            <w:r w:rsidRPr="00960D82">
              <w:rPr>
                <w:noProof/>
              </w:rPr>
              <w:t> </w:t>
            </w:r>
            <w:r w:rsidRPr="00960D82">
              <w:fldChar w:fldCharType="end"/>
            </w:r>
            <w:bookmarkEnd w:id="2"/>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767404DB" w14:textId="47CDC15C" w:rsidR="00D94CB0" w:rsidRPr="001A604A" w:rsidRDefault="001A604A" w:rsidP="00BA4845">
            <w:pPr>
              <w:pStyle w:val="MHHSBody"/>
              <w:spacing w:after="20" w:line="0" w:lineRule="atLeast"/>
              <w:rPr>
                <w:bCs/>
              </w:rPr>
            </w:pPr>
            <w:r>
              <w:rPr>
                <w:bCs/>
              </w:rPr>
              <w:t xml:space="preserve">None </w:t>
            </w:r>
            <w:r w:rsidR="0054378E">
              <w:rPr>
                <w:bCs/>
              </w:rPr>
              <w:t>identified</w:t>
            </w: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t>
            </w:r>
            <w:proofErr w:type="gramStart"/>
            <w:r w:rsidRPr="00960D82">
              <w:rPr>
                <w:i/>
                <w:sz w:val="16"/>
                <w:szCs w:val="20"/>
              </w:rPr>
              <w:t>what</w:t>
            </w:r>
            <w:proofErr w:type="gramEnd"/>
            <w:r w:rsidRPr="00960D82">
              <w:rPr>
                <w:i/>
                <w:sz w:val="16"/>
                <w:szCs w:val="20"/>
              </w:rPr>
              <w:t xml:space="preserve"> risks related to implementation of the proposed change have been identified)</w:t>
            </w:r>
          </w:p>
          <w:p w14:paraId="61D6CFE3" w14:textId="49D1C7F6" w:rsidR="00D94CB0" w:rsidRPr="001A604A" w:rsidRDefault="001A604A" w:rsidP="00BA4845">
            <w:pPr>
              <w:pStyle w:val="MHHSBody"/>
              <w:spacing w:after="20" w:line="0" w:lineRule="atLeast"/>
              <w:rPr>
                <w:bCs/>
              </w:rPr>
            </w:pPr>
            <w:r>
              <w:rPr>
                <w:bCs/>
              </w:rPr>
              <w:t>None identified.</w:t>
            </w: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0AB7B0C0" w14:textId="445BAB4C" w:rsidR="00D94CB0" w:rsidRPr="0046238B" w:rsidRDefault="0046238B" w:rsidP="00BA4845">
            <w:pPr>
              <w:pStyle w:val="MHHSBody"/>
              <w:spacing w:after="20" w:line="0" w:lineRule="atLeast"/>
              <w:rPr>
                <w:bCs/>
              </w:rPr>
            </w:pPr>
            <w:r>
              <w:rPr>
                <w:bCs/>
              </w:rPr>
              <w:t>These changes have been discussed within the CCIAG and the REC MSAG.</w:t>
            </w: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1B554FC4" w:rsidR="00E86758" w:rsidRDefault="007560FE" w:rsidP="00CB0714">
            <w:pPr>
              <w:pStyle w:val="MHHSBody"/>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1C0D38">
              <w:t>04</w:t>
            </w:r>
            <w:r w:rsidR="0046238B">
              <w:t>/10/2023</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proofErr w:type="gramStart"/>
            <w:r w:rsidR="00651F24">
              <w:rPr>
                <w:i/>
                <w:iCs/>
                <w:sz w:val="16"/>
                <w:szCs w:val="16"/>
              </w:rPr>
              <w:t>list</w:t>
            </w:r>
            <w:proofErr w:type="gramEnd"/>
            <w:r w:rsidR="00651F24">
              <w:rPr>
                <w:i/>
                <w:iCs/>
                <w:sz w:val="16"/>
                <w:szCs w:val="16"/>
              </w:rPr>
              <w:t xml:space="preserve"> the benefits of the change and how this improves the business case</w:t>
            </w:r>
            <w:r>
              <w:rPr>
                <w:i/>
                <w:iCs/>
                <w:sz w:val="16"/>
                <w:szCs w:val="16"/>
              </w:rPr>
              <w:t>)</w:t>
            </w:r>
          </w:p>
          <w:p w14:paraId="20F87222" w14:textId="76032939" w:rsidR="00D51932" w:rsidRDefault="0046238B" w:rsidP="00651F24">
            <w:pPr>
              <w:pStyle w:val="MHHSBody"/>
            </w:pPr>
            <w:r>
              <w:t>The change will bring clarity as to what participants can expect from EES and SDEP within the MHHS design and remove any confusion caused by the current ‘for guidance’ requirements.</w:t>
            </w:r>
            <w:r w:rsidR="00D51932">
              <w:fldChar w:fldCharType="begin">
                <w:ffData>
                  <w:name w:val="Text45"/>
                  <w:enabled/>
                  <w:calcOnExit w:val="0"/>
                  <w:textInput/>
                </w:ffData>
              </w:fldChar>
            </w:r>
            <w:r w:rsidR="00D51932">
              <w:instrText xml:space="preserve"> FORMTEXT </w:instrText>
            </w:r>
            <w:r w:rsidR="00D51932">
              <w:fldChar w:fldCharType="separate"/>
            </w:r>
            <w:r w:rsidR="00D51932">
              <w:rPr>
                <w:noProof/>
              </w:rPr>
              <w:t> </w:t>
            </w:r>
            <w:r w:rsidR="00D51932">
              <w:rPr>
                <w:noProof/>
              </w:rPr>
              <w:t> </w:t>
            </w:r>
            <w:r w:rsidR="00D51932">
              <w:rPr>
                <w:noProof/>
              </w:rPr>
              <w:t> </w:t>
            </w:r>
            <w:r w:rsidR="00D51932">
              <w:rPr>
                <w:noProof/>
              </w:rPr>
              <w:t> </w:t>
            </w:r>
            <w:r w:rsidR="00D51932">
              <w:rPr>
                <w:noProof/>
              </w:rPr>
              <w:t> </w:t>
            </w:r>
            <w:r w:rsidR="00D51932">
              <w:fldChar w:fldCharType="end"/>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4F3D6917" w:rsidR="002B04D8" w:rsidRDefault="0046238B" w:rsidP="00151F9B">
            <w:pPr>
              <w:pStyle w:val="MHHSBody"/>
            </w:pPr>
            <w:r>
              <w:t>EES and SDEPs role within the TOM and Meter to Bank proces</w:t>
            </w:r>
            <w:r w:rsidR="0050011F">
              <w:t>s</w:t>
            </w:r>
            <w:r>
              <w:t xml:space="preserve"> is clarified for all participants.</w:t>
            </w:r>
            <w:r w:rsidR="00202EE0">
              <w:fldChar w:fldCharType="begin">
                <w:ffData>
                  <w:name w:val="Text53"/>
                  <w:enabled/>
                  <w:calcOnExit w:val="0"/>
                  <w:textInput/>
                </w:ffData>
              </w:fldChar>
            </w:r>
            <w:bookmarkStart w:id="4" w:name="Text53"/>
            <w:r w:rsidR="00202EE0">
              <w:instrText xml:space="preserve"> FORMTEXT </w:instrText>
            </w:r>
            <w:r w:rsidR="00202EE0">
              <w:fldChar w:fldCharType="separate"/>
            </w:r>
            <w:r w:rsidR="00202EE0">
              <w:rPr>
                <w:noProof/>
              </w:rPr>
              <w:t> </w:t>
            </w:r>
            <w:r w:rsidR="00202EE0">
              <w:rPr>
                <w:noProof/>
              </w:rPr>
              <w:t> </w:t>
            </w:r>
            <w:r w:rsidR="00202EE0">
              <w:rPr>
                <w:noProof/>
              </w:rPr>
              <w:t> </w:t>
            </w:r>
            <w:r w:rsidR="00202EE0">
              <w:rPr>
                <w:noProof/>
              </w:rPr>
              <w:t> </w:t>
            </w:r>
            <w:r w:rsidR="00202EE0">
              <w:rPr>
                <w:noProof/>
              </w:rPr>
              <w:t> </w:t>
            </w:r>
            <w:r w:rsidR="00202EE0">
              <w:fldChar w:fldCharType="end"/>
            </w:r>
            <w:bookmarkEnd w:id="4"/>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64EB65C6" w:rsidR="002B04D8" w:rsidRDefault="0046238B" w:rsidP="00151F9B">
            <w:pPr>
              <w:pStyle w:val="MHHSBody"/>
            </w:pPr>
            <w:r>
              <w:t>No benefit</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02EE0">
              <w:t> </w:t>
            </w:r>
            <w:r w:rsidR="00202EE0">
              <w:t> </w:t>
            </w:r>
            <w:r w:rsidR="00202EE0">
              <w:t> </w:t>
            </w:r>
            <w:r w:rsidR="002B04D8">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55422C2A" w:rsidR="00151F9B" w:rsidRDefault="0046238B" w:rsidP="00151F9B">
            <w:pPr>
              <w:pStyle w:val="MHHSBody"/>
            </w:pPr>
            <w:r>
              <w:t>Firm design baseline established from which to draft the code changes.</w:t>
            </w:r>
            <w:r w:rsidR="00151F9B">
              <w:fldChar w:fldCharType="begin">
                <w:ffData>
                  <w:name w:val="Text47"/>
                  <w:enabled/>
                  <w:calcOnExit w:val="0"/>
                  <w:textInput/>
                </w:ffData>
              </w:fldChar>
            </w:r>
            <w:bookmarkStart w:id="5" w:name="Text47"/>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5"/>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6A156698" w:rsidR="00151F9B" w:rsidRDefault="0046238B" w:rsidP="00151F9B">
            <w:pPr>
              <w:pStyle w:val="MHHSBody"/>
            </w:pPr>
            <w:r>
              <w:t>EES design established in the design artefacts allowing build to commence with less risk.</w:t>
            </w:r>
            <w:r w:rsidR="00151F9B">
              <w:fldChar w:fldCharType="begin">
                <w:ffData>
                  <w:name w:val="Text48"/>
                  <w:enabled/>
                  <w:calcOnExit w:val="0"/>
                  <w:textInput/>
                </w:ffData>
              </w:fldChar>
            </w:r>
            <w:bookmarkStart w:id="6" w:name="Text48"/>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6"/>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14:paraId="0FBF274A" w14:textId="082BF050" w:rsidR="00151F9B" w:rsidRDefault="0046238B" w:rsidP="00151F9B">
            <w:pPr>
              <w:pStyle w:val="MHHSBody"/>
            </w:pPr>
            <w:r>
              <w:t>No benefit</w:t>
            </w:r>
            <w:r w:rsidR="00151F9B">
              <w:fldChar w:fldCharType="begin">
                <w:ffData>
                  <w:name w:val="Text49"/>
                  <w:enabled/>
                  <w:calcOnExit w:val="0"/>
                  <w:textInput/>
                </w:ffData>
              </w:fldChar>
            </w:r>
            <w:bookmarkStart w:id="7"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7"/>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628" w:type="dxa"/>
            <w:vAlign w:val="top"/>
          </w:tcPr>
          <w:p w14:paraId="444275F1" w14:textId="530AF51E" w:rsidR="00151F9B" w:rsidRDefault="0046238B" w:rsidP="00151F9B">
            <w:pPr>
              <w:pStyle w:val="MHHSBody"/>
            </w:pPr>
            <w:r>
              <w:t>Removal of ‘for guidance requirements’ providing more robust design governance.</w:t>
            </w:r>
            <w:r w:rsidR="00151F9B">
              <w:fldChar w:fldCharType="begin">
                <w:ffData>
                  <w:name w:val="Text50"/>
                  <w:enabled/>
                  <w:calcOnExit w:val="0"/>
                  <w:textInput/>
                </w:ffData>
              </w:fldChar>
            </w:r>
            <w:bookmarkStart w:id="8" w:name="Text50"/>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8"/>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document the known programme parties and programme deliverables that may be impacted by the proposed </w:t>
      </w:r>
      <w:proofErr w:type="gramStart"/>
      <w:r w:rsidRPr="00F6156E">
        <w:rPr>
          <w:b/>
          <w:bCs/>
          <w:i/>
          <w:iCs/>
        </w:rPr>
        <w:t>change</w:t>
      </w:r>
      <w:proofErr w:type="gramEnd"/>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2F9F0384" w:rsidR="00CF3F69" w:rsidRDefault="0046238B" w:rsidP="00250039">
            <w:pPr>
              <w:pStyle w:val="MHHSBody"/>
            </w:pPr>
            <w:r>
              <w:t>EES, Suppliers, Data Services, Meter Equipment Managers, Distribution Network Operators, Other EES users</w:t>
            </w:r>
            <w:r w:rsidR="002B4DF4">
              <w:fldChar w:fldCharType="begin">
                <w:ffData>
                  <w:name w:val="Text45"/>
                  <w:enabled/>
                  <w:calcOnExit w:val="0"/>
                  <w:textInput/>
                </w:ffData>
              </w:fldChar>
            </w:r>
            <w:bookmarkStart w:id="9" w:name="Text45"/>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9"/>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4A82E2CA" w:rsidR="00CF3F69" w:rsidRDefault="0046238B" w:rsidP="00250039">
            <w:pPr>
              <w:pStyle w:val="MHHSBody"/>
            </w:pPr>
            <w:r>
              <w:t>None</w:t>
            </w:r>
            <w:r w:rsidR="002B4DF4">
              <w:fldChar w:fldCharType="begin">
                <w:ffData>
                  <w:name w:val="Text46"/>
                  <w:enabled/>
                  <w:calcOnExit w:val="0"/>
                  <w:textInput/>
                </w:ffData>
              </w:fldChar>
            </w:r>
            <w:bookmarkStart w:id="10" w:name="Text46"/>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10"/>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3350D2EB" w:rsidR="004E5557" w:rsidRPr="0046238B" w:rsidRDefault="0046238B" w:rsidP="00250039">
            <w:pPr>
              <w:pStyle w:val="MHHSBody"/>
            </w:pPr>
            <w:r w:rsidRPr="0046238B">
              <w:t>None</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068"/>
        <w:gridCol w:w="3209"/>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0515D938" w:rsidR="004D0669" w:rsidRDefault="00C21297" w:rsidP="005A4D7B">
            <w:pPr>
              <w:pStyle w:val="MHHSBody"/>
            </w:pPr>
            <w:r>
              <w:t>3 – Potentially Important</w:t>
            </w:r>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11" w:name="Dropdown4"/>
            <w:r>
              <w:instrText xml:space="preserve"> FORMDROPDOWN </w:instrText>
            </w:r>
            <w:r w:rsidR="00000000">
              <w:fldChar w:fldCharType="separate"/>
            </w:r>
            <w:r>
              <w:fldChar w:fldCharType="end"/>
            </w:r>
            <w:bookmarkEnd w:id="11"/>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48ED76E2" w:rsidR="004D0669" w:rsidRDefault="00C21297" w:rsidP="005A4D7B">
            <w:pPr>
              <w:pStyle w:val="MHHSBody"/>
            </w:pPr>
            <w:r>
              <w:t>Solution</w:t>
            </w:r>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2" w:name="Dropdown5"/>
            <w:r>
              <w:instrText xml:space="preserve"> FORMDROPDOWN </w:instrText>
            </w:r>
            <w:r w:rsidR="00000000">
              <w:fldChar w:fldCharType="separate"/>
            </w:r>
            <w:r>
              <w:fldChar w:fldCharType="end"/>
            </w:r>
            <w:bookmarkEnd w:id="12"/>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77777777" w:rsidR="004D0669" w:rsidRDefault="004D0669" w:rsidP="005A4D7B">
            <w:pPr>
              <w:pStyle w:val="MHHSBody"/>
            </w:pPr>
            <w:r>
              <w:fldChar w:fldCharType="begin">
                <w:ffData>
                  <w:name w:val="Dropdown3"/>
                  <w:enabled/>
                  <w:calcOnExit w:val="0"/>
                  <w:ddList>
                    <w:listEntry w:val="Very Low"/>
                    <w:listEntry w:val="Low"/>
                    <w:listEntry w:val="Medium"/>
                    <w:listEntry w:val="High"/>
                  </w:ddList>
                </w:ffData>
              </w:fldChar>
            </w:r>
            <w:bookmarkStart w:id="13" w:name="Dropdown3"/>
            <w:r>
              <w:instrText xml:space="preserve"> FORMDROPDOWN </w:instrText>
            </w:r>
            <w:r w:rsidR="00000000">
              <w:fldChar w:fldCharType="separate"/>
            </w:r>
            <w:r>
              <w:fldChar w:fldCharType="end"/>
            </w:r>
            <w:bookmarkEnd w:id="13"/>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4C85BD40" w:rsidR="001A7E27" w:rsidRPr="00F94CF8" w:rsidRDefault="00F46980" w:rsidP="00C62FEC">
            <w:pPr>
              <w:pStyle w:val="MHHSBody"/>
              <w:rPr>
                <w:rFonts w:cstheme="minorHAnsi"/>
                <w:szCs w:val="20"/>
              </w:rPr>
            </w:pPr>
            <w:r>
              <w:rPr>
                <w:rFonts w:cstheme="minorHAnsi"/>
                <w:szCs w:val="20"/>
              </w:rPr>
              <w:t xml:space="preserve">EES and SDEP </w:t>
            </w:r>
            <w:r w:rsidR="003A5163">
              <w:rPr>
                <w:rFonts w:cstheme="minorHAnsi"/>
                <w:szCs w:val="20"/>
              </w:rPr>
              <w:t>Requirements CR Redlining</w:t>
            </w:r>
          </w:p>
        </w:tc>
        <w:tc>
          <w:tcPr>
            <w:tcW w:w="4587" w:type="dxa"/>
            <w:tcBorders>
              <w:left w:val="single" w:sz="4" w:space="0" w:color="auto"/>
              <w:right w:val="single" w:sz="4" w:space="0" w:color="auto"/>
            </w:tcBorders>
          </w:tcPr>
          <w:p w14:paraId="10646BA0" w14:textId="35E77BAF" w:rsidR="001A7E27" w:rsidRPr="003A5163" w:rsidRDefault="003A5163" w:rsidP="00C62FEC">
            <w:pPr>
              <w:pStyle w:val="MHHSBody"/>
              <w:rPr>
                <w:rFonts w:cstheme="minorHAnsi"/>
                <w:szCs w:val="20"/>
              </w:rPr>
            </w:pPr>
            <w:r>
              <w:rPr>
                <w:rFonts w:cstheme="minorHAnsi"/>
                <w:szCs w:val="20"/>
              </w:rPr>
              <w:t>Appendix 1</w:t>
            </w:r>
          </w:p>
        </w:tc>
      </w:tr>
      <w:tr w:rsidR="007B7F06" w:rsidRPr="00A92AE4" w14:paraId="4204B31B" w14:textId="77777777" w:rsidTr="00C62FEC">
        <w:tc>
          <w:tcPr>
            <w:tcW w:w="5939" w:type="dxa"/>
            <w:tcBorders>
              <w:left w:val="single" w:sz="4" w:space="0" w:color="auto"/>
              <w:right w:val="single" w:sz="4" w:space="0" w:color="auto"/>
            </w:tcBorders>
            <w:shd w:val="clear" w:color="auto" w:fill="F2F2F2" w:themeFill="background1" w:themeFillShade="F2"/>
          </w:tcPr>
          <w:p w14:paraId="44A9407D" w14:textId="513E3BD7" w:rsidR="007B7F06" w:rsidRDefault="007B7F06" w:rsidP="00C62FEC">
            <w:pPr>
              <w:pStyle w:val="MHHSBody"/>
              <w:rPr>
                <w:rStyle w:val="CommentReference"/>
              </w:rPr>
            </w:pPr>
            <w:r w:rsidRPr="007B7F06">
              <w:rPr>
                <w:rFonts w:cstheme="minorHAnsi"/>
                <w:szCs w:val="20"/>
              </w:rPr>
              <w:t>IF-001 CR Redlining</w:t>
            </w:r>
          </w:p>
        </w:tc>
        <w:tc>
          <w:tcPr>
            <w:tcW w:w="4587" w:type="dxa"/>
            <w:tcBorders>
              <w:left w:val="single" w:sz="4" w:space="0" w:color="auto"/>
              <w:right w:val="single" w:sz="4" w:space="0" w:color="auto"/>
            </w:tcBorders>
          </w:tcPr>
          <w:p w14:paraId="2C1BCFEE" w14:textId="6FE3E056" w:rsidR="007B7F06" w:rsidRDefault="007B7F06" w:rsidP="00C62FEC">
            <w:pPr>
              <w:pStyle w:val="MHHSBody"/>
              <w:rPr>
                <w:rFonts w:cstheme="minorHAnsi"/>
                <w:szCs w:val="20"/>
              </w:rPr>
            </w:pPr>
            <w:r>
              <w:rPr>
                <w:rFonts w:cstheme="minorHAnsi"/>
                <w:szCs w:val="20"/>
              </w:rPr>
              <w:t>Appendix 2</w:t>
            </w: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49C2CBA9" w:rsidR="001A7E27" w:rsidRPr="00F94CF8" w:rsidRDefault="00764AD8" w:rsidP="00C62FEC">
            <w:pPr>
              <w:pStyle w:val="MHHSBody"/>
              <w:rPr>
                <w:rFonts w:cstheme="minorHAnsi"/>
                <w:szCs w:val="20"/>
              </w:rPr>
            </w:pPr>
            <w:r>
              <w:rPr>
                <w:rFonts w:cstheme="minorHAnsi"/>
                <w:szCs w:val="20"/>
              </w:rPr>
              <w:t>BPD 001 Change of Supplier CR Redlining</w:t>
            </w:r>
          </w:p>
        </w:tc>
        <w:tc>
          <w:tcPr>
            <w:tcW w:w="4587" w:type="dxa"/>
            <w:tcBorders>
              <w:left w:val="single" w:sz="4" w:space="0" w:color="auto"/>
              <w:right w:val="single" w:sz="4" w:space="0" w:color="auto"/>
            </w:tcBorders>
          </w:tcPr>
          <w:p w14:paraId="0EBA7423" w14:textId="30673ED6" w:rsidR="001A7E27" w:rsidRPr="00764AD8" w:rsidRDefault="00764AD8" w:rsidP="00C62FEC">
            <w:pPr>
              <w:pStyle w:val="MHHSBody"/>
              <w:rPr>
                <w:rFonts w:cstheme="minorHAnsi"/>
                <w:szCs w:val="20"/>
              </w:rPr>
            </w:pPr>
            <w:r>
              <w:rPr>
                <w:rFonts w:cstheme="minorHAnsi"/>
                <w:szCs w:val="20"/>
              </w:rPr>
              <w:t>Appendix 3</w:t>
            </w: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response (</w:t>
      </w:r>
      <w:proofErr w:type="gramStart"/>
      <w:r w:rsidRPr="00214B3C">
        <w:rPr>
          <w:rFonts w:cstheme="minorHAnsi"/>
          <w:b w:val="0"/>
          <w:bCs w:val="0"/>
          <w:i/>
          <w:iCs/>
          <w:color w:val="041425" w:themeColor="text1"/>
          <w:sz w:val="20"/>
          <w:szCs w:val="20"/>
        </w:rPr>
        <w:t>e.g.</w:t>
      </w:r>
      <w:proofErr w:type="gramEnd"/>
      <w:r w:rsidRPr="00214B3C">
        <w:rPr>
          <w:rFonts w:cstheme="minorHAnsi"/>
          <w:b w:val="0"/>
          <w:bCs w:val="0"/>
          <w:i/>
          <w:iCs/>
          <w:color w:val="041425" w:themeColor="text1"/>
          <w:sz w:val="20"/>
          <w:szCs w:val="20"/>
        </w:rPr>
        <w:t xml:space="preserve">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36C3A811" w14:textId="4B619EF7" w:rsidR="007B7230" w:rsidRPr="00AB7609" w:rsidRDefault="00AB7609" w:rsidP="004D272C">
            <w:pPr>
              <w:pStyle w:val="MHHSBody"/>
              <w:rPr>
                <w:rFonts w:cstheme="minorHAnsi"/>
                <w:color w:val="041425" w:themeColor="text1"/>
                <w:szCs w:val="20"/>
              </w:rPr>
            </w:pPr>
            <w:r>
              <w:rPr>
                <w:rFonts w:cstheme="minorHAnsi"/>
                <w:color w:val="041425" w:themeColor="text1"/>
                <w:szCs w:val="20"/>
              </w:rPr>
              <w:t xml:space="preserve">Ensuring all parties are clear on the solution delivered by EES &amp; SDEP will </w:t>
            </w:r>
            <w:r w:rsidR="006C5BC1">
              <w:rPr>
                <w:rFonts w:cstheme="minorHAnsi"/>
                <w:color w:val="041425" w:themeColor="text1"/>
                <w:szCs w:val="20"/>
              </w:rPr>
              <w:t>provide clarity to the design, ensuring MHHS benefits are realised as quickly as possible.</w:t>
            </w:r>
          </w:p>
          <w:p w14:paraId="4B0E24DB" w14:textId="2E4561BF" w:rsidR="007B7230" w:rsidRPr="007B7230" w:rsidRDefault="007B7230" w:rsidP="004D272C">
            <w:pPr>
              <w:pStyle w:val="MHHSBody"/>
              <w:rPr>
                <w:rFonts w:cstheme="minorHAnsi"/>
                <w:i/>
                <w:iCs/>
                <w:color w:val="041425" w:themeColor="text1"/>
                <w:szCs w:val="20"/>
              </w:rPr>
            </w:pP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w:t>
            </w:r>
            <w:proofErr w:type="gramStart"/>
            <w:r w:rsidRPr="00484B40">
              <w:rPr>
                <w:i/>
                <w:iCs/>
                <w:color w:val="FF0000"/>
              </w:rPr>
              <w:t>e.g.</w:t>
            </w:r>
            <w:proofErr w:type="gramEnd"/>
            <w:r w:rsidRPr="00484B40">
              <w:rPr>
                <w:i/>
                <w:iCs/>
                <w:color w:val="FF0000"/>
              </w:rPr>
              <w:t xml:space="preserve">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 xml:space="preserve">Where possible, contextual information should be included </w:t>
            </w:r>
            <w:proofErr w:type="gramStart"/>
            <w:r w:rsidRPr="00484B40">
              <w:rPr>
                <w:i/>
                <w:iCs/>
                <w:color w:val="FF0000"/>
              </w:rPr>
              <w:t>e.g.</w:t>
            </w:r>
            <w:proofErr w:type="gramEnd"/>
            <w:r w:rsidRPr="00484B40">
              <w:rPr>
                <w:i/>
                <w:iCs/>
                <w:color w:val="FF0000"/>
              </w:rPr>
              <w:t xml:space="preserve">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079D559A" w14:textId="1790D485" w:rsidR="00CD1DDD" w:rsidRPr="006C5BC1" w:rsidRDefault="00A4467F" w:rsidP="00214B3C">
            <w:pPr>
              <w:pStyle w:val="MHHSBody"/>
              <w:rPr>
                <w:rFonts w:cstheme="minorHAnsi"/>
                <w:color w:val="041425" w:themeColor="text1"/>
                <w:szCs w:val="20"/>
              </w:rPr>
            </w:pPr>
            <w:r>
              <w:rPr>
                <w:rFonts w:cstheme="minorHAnsi"/>
                <w:color w:val="041425" w:themeColor="text1"/>
                <w:szCs w:val="20"/>
              </w:rPr>
              <w:t xml:space="preserve">Any ambiguity on how EES data is updated and how </w:t>
            </w:r>
            <w:r w:rsidR="00C65E00">
              <w:rPr>
                <w:rFonts w:cstheme="minorHAnsi"/>
                <w:color w:val="041425" w:themeColor="text1"/>
                <w:szCs w:val="20"/>
              </w:rPr>
              <w:t xml:space="preserve">party to party communication is managed within MHHS processes will be removed. </w:t>
            </w:r>
            <w:r w:rsidR="00B16240">
              <w:rPr>
                <w:rFonts w:cstheme="minorHAnsi"/>
                <w:color w:val="041425" w:themeColor="text1"/>
                <w:szCs w:val="20"/>
              </w:rPr>
              <w:t xml:space="preserve">This </w:t>
            </w:r>
            <w:r w:rsidR="00FD61C7">
              <w:rPr>
                <w:rFonts w:cstheme="minorHAnsi"/>
                <w:color w:val="041425" w:themeColor="text1"/>
                <w:szCs w:val="20"/>
              </w:rPr>
              <w:t>will improve process clarity and improve the customer exper</w:t>
            </w:r>
            <w:r w:rsidR="00776CB6">
              <w:rPr>
                <w:rFonts w:cstheme="minorHAnsi"/>
                <w:color w:val="041425" w:themeColor="text1"/>
                <w:szCs w:val="20"/>
              </w:rPr>
              <w:t>ience.</w:t>
            </w: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4"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14"/>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sidRPr="006A0471">
              <w:rPr>
                <w:rFonts w:cstheme="minorHAnsi"/>
                <w:i/>
                <w:iCs/>
                <w:color w:val="FF0000"/>
                <w:szCs w:val="20"/>
              </w:rPr>
              <w:t xml:space="preserve">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67B38DD6" w14:textId="6B482161" w:rsidR="00AF4AE2" w:rsidRPr="00776CB6" w:rsidRDefault="00776CB6" w:rsidP="00AF4AE2">
            <w:pPr>
              <w:pStyle w:val="MHHSBody"/>
              <w:rPr>
                <w:rFonts w:cstheme="minorHAnsi"/>
                <w:color w:val="041425" w:themeColor="text1"/>
                <w:szCs w:val="20"/>
              </w:rPr>
            </w:pPr>
            <w:r>
              <w:rPr>
                <w:rFonts w:cstheme="minorHAnsi"/>
                <w:color w:val="041425" w:themeColor="text1"/>
                <w:szCs w:val="20"/>
              </w:rPr>
              <w:t>No impact on the MHHS schedule identified.</w:t>
            </w: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627FFB"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552719B1" w14:textId="16F9A56B" w:rsidR="009056D8" w:rsidRDefault="00776CB6" w:rsidP="009056D8">
            <w:pPr>
              <w:pStyle w:val="MHHSBody"/>
              <w:rPr>
                <w:color w:val="041425" w:themeColor="text1"/>
              </w:rPr>
            </w:pPr>
            <w:r>
              <w:rPr>
                <w:color w:val="041425" w:themeColor="text1"/>
              </w:rPr>
              <w:t xml:space="preserve">Ensuring clarity of EES and SDEP requirements will prevent parties from undertaking </w:t>
            </w:r>
            <w:r w:rsidR="00627FFB">
              <w:rPr>
                <w:color w:val="041425" w:themeColor="text1"/>
              </w:rPr>
              <w:t xml:space="preserve">any unnecessary development. </w:t>
            </w:r>
          </w:p>
          <w:p w14:paraId="2BE44567" w14:textId="74579D0E" w:rsidR="00627FFB" w:rsidRPr="00627FFB" w:rsidRDefault="00627FFB" w:rsidP="009056D8">
            <w:pPr>
              <w:pStyle w:val="MHHSBody"/>
              <w:rPr>
                <w:color w:val="041425" w:themeColor="text1"/>
              </w:rPr>
            </w:pPr>
            <w:r w:rsidRPr="00627FFB">
              <w:rPr>
                <w:color w:val="041425" w:themeColor="text1"/>
              </w:rPr>
              <w:t>Minimal impact on MHHS Programme costs to</w:t>
            </w:r>
            <w:r>
              <w:rPr>
                <w:color w:val="041425" w:themeColor="text1"/>
              </w:rPr>
              <w:t xml:space="preserve"> implement the change.</w:t>
            </w:r>
          </w:p>
          <w:p w14:paraId="22448014" w14:textId="2E38D3EE" w:rsidR="009056D8" w:rsidRPr="00627FFB" w:rsidRDefault="009056D8" w:rsidP="009056D8">
            <w:pPr>
              <w:pStyle w:val="MHHSBody"/>
              <w:rPr>
                <w:b/>
                <w:bCs/>
                <w:color w:val="041425" w:themeColor="text1"/>
                <w:u w:val="single"/>
              </w:rPr>
            </w:pPr>
            <w:r w:rsidRPr="00627FFB">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w:t>
            </w:r>
            <w:proofErr w:type="gramStart"/>
            <w:r w:rsidRPr="00A441CE">
              <w:rPr>
                <w:i/>
                <w:iCs/>
                <w:color w:val="FF0000"/>
              </w:rPr>
              <w:t>e.g.</w:t>
            </w:r>
            <w:proofErr w:type="gramEnd"/>
            <w:r w:rsidRPr="00A441CE">
              <w:rPr>
                <w:i/>
                <w:iCs/>
                <w:color w:val="FF0000"/>
              </w:rPr>
              <w:t xml:space="preserve">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 xml:space="preserve">Where possible, contextual information should be included </w:t>
            </w:r>
            <w:proofErr w:type="gramStart"/>
            <w:r w:rsidRPr="00A441CE">
              <w:rPr>
                <w:i/>
                <w:iCs/>
                <w:color w:val="FF0000"/>
              </w:rPr>
              <w:t>e.g.</w:t>
            </w:r>
            <w:proofErr w:type="gramEnd"/>
            <w:r w:rsidRPr="00A441CE">
              <w:rPr>
                <w:i/>
                <w:iCs/>
                <w:color w:val="FF0000"/>
              </w:rPr>
              <w:t xml:space="preserve"> whether it is capital or operating expenditure that will be affected; what period costs will be affected in; what the rough order of magnitude of the cost impact will be and if organisation will be able to absorb it?</w:t>
            </w:r>
          </w:p>
        </w:tc>
      </w:tr>
      <w:tr w:rsidR="002E3B9C" w:rsidRPr="007C78C5"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2EC96E78" w14:textId="0E9218ED" w:rsidR="002E3B9C" w:rsidRPr="007C78C5" w:rsidRDefault="00627FFB" w:rsidP="002E3B9C">
            <w:pPr>
              <w:pStyle w:val="MHHSBody"/>
              <w:rPr>
                <w:rFonts w:cstheme="minorHAnsi"/>
                <w:color w:val="041425" w:themeColor="text1"/>
                <w:szCs w:val="20"/>
              </w:rPr>
            </w:pPr>
            <w:r w:rsidRPr="007C78C5">
              <w:rPr>
                <w:rFonts w:cstheme="minorHAnsi"/>
                <w:color w:val="041425" w:themeColor="text1"/>
                <w:szCs w:val="20"/>
              </w:rPr>
              <w:t>Minimal impact on</w:t>
            </w:r>
            <w:r w:rsidR="007C78C5" w:rsidRPr="007C78C5">
              <w:rPr>
                <w:rFonts w:cstheme="minorHAnsi"/>
                <w:color w:val="041425" w:themeColor="text1"/>
                <w:szCs w:val="20"/>
              </w:rPr>
              <w:t xml:space="preserve"> MHHS Programme resource to i</w:t>
            </w:r>
            <w:r w:rsidR="007C78C5">
              <w:rPr>
                <w:rFonts w:cstheme="minorHAnsi"/>
                <w:color w:val="041425" w:themeColor="text1"/>
                <w:szCs w:val="20"/>
              </w:rPr>
              <w:t>mplement the change.</w:t>
            </w:r>
          </w:p>
          <w:p w14:paraId="556B106E" w14:textId="7BE22C46" w:rsidR="002E3B9C" w:rsidRPr="007C78C5"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6702604" w14:textId="06C59236" w:rsidR="002E3B9C" w:rsidRPr="007C78C5" w:rsidRDefault="007C78C5" w:rsidP="002E3B9C">
            <w:pPr>
              <w:pStyle w:val="MHHSBody"/>
              <w:rPr>
                <w:rFonts w:cstheme="minorHAnsi"/>
                <w:color w:val="041425" w:themeColor="text1"/>
                <w:szCs w:val="20"/>
              </w:rPr>
            </w:pPr>
            <w:r>
              <w:rPr>
                <w:rFonts w:cstheme="minorHAnsi"/>
                <w:color w:val="041425" w:themeColor="text1"/>
                <w:szCs w:val="20"/>
              </w:rPr>
              <w:t>No impact on contracts identified.</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5B33AF67" w14:textId="01949A80" w:rsidR="002E3B9C" w:rsidRPr="005B7D3A" w:rsidRDefault="004B343C" w:rsidP="002E3B9C">
            <w:pPr>
              <w:pStyle w:val="MHHSBody"/>
              <w:rPr>
                <w:rFonts w:cstheme="minorHAnsi"/>
                <w:i/>
                <w:iCs/>
                <w:color w:val="041425" w:themeColor="text1"/>
                <w:szCs w:val="20"/>
              </w:rPr>
            </w:pPr>
            <w:r>
              <w:rPr>
                <w:rFonts w:cstheme="minorHAnsi"/>
                <w:color w:val="041425" w:themeColor="text1"/>
                <w:szCs w:val="20"/>
              </w:rPr>
              <w:lastRenderedPageBreak/>
              <w:t>No impact on risks identified.</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5"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5"/>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6"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6"/>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22"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3"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4"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5"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6"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7"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8"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9"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30"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31"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32"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3"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3"/>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4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4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1E7217EC" w14:textId="490154A9" w:rsidR="00124C9C" w:rsidRDefault="00124C9C" w:rsidP="001E03F6"/>
    <w:sectPr w:rsidR="00124C9C" w:rsidSect="00124C9C">
      <w:footerReference w:type="default" r:id="rId11"/>
      <w:headerReference w:type="first" r:id="rId12"/>
      <w:footerReference w:type="first" r:id="rId13"/>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8BC8" w14:textId="77777777" w:rsidR="0081502E" w:rsidRDefault="0081502E" w:rsidP="007F1A2A">
      <w:pPr>
        <w:spacing w:after="0" w:line="240" w:lineRule="auto"/>
      </w:pPr>
      <w:r>
        <w:separator/>
      </w:r>
    </w:p>
  </w:endnote>
  <w:endnote w:type="continuationSeparator" w:id="0">
    <w:p w14:paraId="58E2190F" w14:textId="77777777" w:rsidR="0081502E" w:rsidRDefault="0081502E" w:rsidP="007F1A2A">
      <w:pPr>
        <w:spacing w:after="0" w:line="240" w:lineRule="auto"/>
      </w:pPr>
      <w:r>
        <w:continuationSeparator/>
      </w:r>
    </w:p>
  </w:endnote>
  <w:endnote w:type="continuationNotice" w:id="1">
    <w:p w14:paraId="0C0ACA20" w14:textId="77777777" w:rsidR="0081502E" w:rsidRDefault="00815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6494631C"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5C0035">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5BE0">
              <w:rPr>
                <w:noProof/>
              </w:rPr>
              <w:t>3</w:t>
            </w:r>
            <w:r w:rsidRPr="008345BA">
              <w:fldChar w:fldCharType="end"/>
            </w:r>
            <w:r w:rsidRPr="008345BA">
              <w:t xml:space="preserve"> of </w:t>
            </w:r>
            <w:r>
              <w:fldChar w:fldCharType="begin"/>
            </w:r>
            <w:r>
              <w:instrText xml:space="preserve"> NUMPAGES  </w:instrText>
            </w:r>
            <w:r>
              <w:fldChar w:fldCharType="separate"/>
            </w:r>
            <w:r w:rsidR="00FD5BE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43AA02F0"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5C0035">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80FF" w14:textId="77777777" w:rsidR="0081502E" w:rsidRDefault="0081502E" w:rsidP="007F1A2A">
      <w:pPr>
        <w:spacing w:after="0" w:line="240" w:lineRule="auto"/>
      </w:pPr>
      <w:r>
        <w:separator/>
      </w:r>
    </w:p>
  </w:footnote>
  <w:footnote w:type="continuationSeparator" w:id="0">
    <w:p w14:paraId="58E92692" w14:textId="77777777" w:rsidR="0081502E" w:rsidRDefault="0081502E" w:rsidP="007F1A2A">
      <w:pPr>
        <w:spacing w:after="0" w:line="240" w:lineRule="auto"/>
      </w:pPr>
      <w:r>
        <w:continuationSeparator/>
      </w:r>
    </w:p>
  </w:footnote>
  <w:footnote w:type="continuationNotice" w:id="1">
    <w:p w14:paraId="6CB5212B" w14:textId="77777777" w:rsidR="0081502E" w:rsidRDefault="00815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5D04F7"/>
    <w:multiLevelType w:val="hybridMultilevel"/>
    <w:tmpl w:val="64906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2"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682A46"/>
    <w:multiLevelType w:val="hybridMultilevel"/>
    <w:tmpl w:val="B2ACE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1" w15:restartNumberingAfterBreak="0">
    <w:nsid w:val="63127D5F"/>
    <w:multiLevelType w:val="hybridMultilevel"/>
    <w:tmpl w:val="26F29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3" w15:restartNumberingAfterBreak="0">
    <w:nsid w:val="67F9008C"/>
    <w:multiLevelType w:val="hybridMultilevel"/>
    <w:tmpl w:val="4B069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994970"/>
    <w:multiLevelType w:val="hybridMultilevel"/>
    <w:tmpl w:val="047A34E2"/>
    <w:lvl w:ilvl="0" w:tplc="A5204F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B4876"/>
    <w:multiLevelType w:val="hybridMultilevel"/>
    <w:tmpl w:val="1040B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3"/>
  </w:num>
  <w:num w:numId="2" w16cid:durableId="724723516">
    <w:abstractNumId w:val="0"/>
  </w:num>
  <w:num w:numId="3" w16cid:durableId="833758805">
    <w:abstractNumId w:val="10"/>
  </w:num>
  <w:num w:numId="4" w16cid:durableId="1400977024">
    <w:abstractNumId w:val="28"/>
  </w:num>
  <w:num w:numId="5" w16cid:durableId="316613592">
    <w:abstractNumId w:val="4"/>
  </w:num>
  <w:num w:numId="6" w16cid:durableId="1013411567">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9"/>
  </w:num>
  <w:num w:numId="9" w16cid:durableId="1735858750">
    <w:abstractNumId w:val="30"/>
  </w:num>
  <w:num w:numId="10" w16cid:durableId="1960143817">
    <w:abstractNumId w:val="20"/>
  </w:num>
  <w:num w:numId="11" w16cid:durableId="1445418775">
    <w:abstractNumId w:val="32"/>
  </w:num>
  <w:num w:numId="12" w16cid:durableId="1173691629">
    <w:abstractNumId w:val="18"/>
  </w:num>
  <w:num w:numId="13" w16cid:durableId="1408531643">
    <w:abstractNumId w:val="33"/>
  </w:num>
  <w:num w:numId="14" w16cid:durableId="1689717075">
    <w:abstractNumId w:val="7"/>
  </w:num>
  <w:num w:numId="15" w16cid:durableId="1765345746">
    <w:abstractNumId w:val="31"/>
  </w:num>
  <w:num w:numId="16" w16cid:durableId="1739861400">
    <w:abstractNumId w:val="29"/>
  </w:num>
  <w:num w:numId="17" w16cid:durableId="1362322889">
    <w:abstractNumId w:val="2"/>
  </w:num>
  <w:num w:numId="18" w16cid:durableId="566696032">
    <w:abstractNumId w:val="5"/>
  </w:num>
  <w:num w:numId="19" w16cid:durableId="1453282219">
    <w:abstractNumId w:val="26"/>
  </w:num>
  <w:num w:numId="20" w16cid:durableId="84496781">
    <w:abstractNumId w:val="19"/>
  </w:num>
  <w:num w:numId="21" w16cid:durableId="1290478798">
    <w:abstractNumId w:val="15"/>
  </w:num>
  <w:num w:numId="22" w16cid:durableId="608702015">
    <w:abstractNumId w:val="24"/>
  </w:num>
  <w:num w:numId="23" w16cid:durableId="833299150">
    <w:abstractNumId w:val="12"/>
  </w:num>
  <w:num w:numId="24" w16cid:durableId="1701055255">
    <w:abstractNumId w:val="6"/>
  </w:num>
  <w:num w:numId="25" w16cid:durableId="723874514">
    <w:abstractNumId w:val="8"/>
  </w:num>
  <w:num w:numId="26" w16cid:durableId="1140270382">
    <w:abstractNumId w:val="22"/>
  </w:num>
  <w:num w:numId="27" w16cid:durableId="2123456360">
    <w:abstractNumId w:val="13"/>
  </w:num>
  <w:num w:numId="28" w16cid:durableId="1851213370">
    <w:abstractNumId w:val="17"/>
  </w:num>
  <w:num w:numId="29" w16cid:durableId="1583025799">
    <w:abstractNumId w:val="11"/>
  </w:num>
  <w:num w:numId="30" w16cid:durableId="194270176">
    <w:abstractNumId w:val="21"/>
  </w:num>
  <w:num w:numId="31" w16cid:durableId="1018120351">
    <w:abstractNumId w:val="25"/>
  </w:num>
  <w:num w:numId="32" w16cid:durableId="1789858351">
    <w:abstractNumId w:val="16"/>
  </w:num>
  <w:num w:numId="33" w16cid:durableId="415177532">
    <w:abstractNumId w:val="1"/>
  </w:num>
  <w:num w:numId="34" w16cid:durableId="1517890348">
    <w:abstractNumId w:val="23"/>
  </w:num>
  <w:num w:numId="35" w16cid:durableId="79078678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34C99"/>
    <w:rsid w:val="000425BF"/>
    <w:rsid w:val="00047328"/>
    <w:rsid w:val="000534B2"/>
    <w:rsid w:val="00053B5E"/>
    <w:rsid w:val="000551C9"/>
    <w:rsid w:val="00063D04"/>
    <w:rsid w:val="000644AE"/>
    <w:rsid w:val="000713F2"/>
    <w:rsid w:val="000743E0"/>
    <w:rsid w:val="00075F25"/>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25CC"/>
    <w:rsid w:val="000E304F"/>
    <w:rsid w:val="000E4AEF"/>
    <w:rsid w:val="000E734D"/>
    <w:rsid w:val="000F01F4"/>
    <w:rsid w:val="000F0C8D"/>
    <w:rsid w:val="000F73F7"/>
    <w:rsid w:val="00100EFD"/>
    <w:rsid w:val="001032B8"/>
    <w:rsid w:val="00103DE9"/>
    <w:rsid w:val="001048B4"/>
    <w:rsid w:val="0010639D"/>
    <w:rsid w:val="0010781D"/>
    <w:rsid w:val="00107C03"/>
    <w:rsid w:val="00110047"/>
    <w:rsid w:val="00110301"/>
    <w:rsid w:val="00110B00"/>
    <w:rsid w:val="00121907"/>
    <w:rsid w:val="00122E89"/>
    <w:rsid w:val="00124C9C"/>
    <w:rsid w:val="001258AA"/>
    <w:rsid w:val="00125FA2"/>
    <w:rsid w:val="0013406A"/>
    <w:rsid w:val="001348BB"/>
    <w:rsid w:val="00136310"/>
    <w:rsid w:val="00143EC4"/>
    <w:rsid w:val="00145996"/>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604A"/>
    <w:rsid w:val="001A7E27"/>
    <w:rsid w:val="001B2B74"/>
    <w:rsid w:val="001B3F5C"/>
    <w:rsid w:val="001C0D38"/>
    <w:rsid w:val="001C43A1"/>
    <w:rsid w:val="001C5F8C"/>
    <w:rsid w:val="001D43CB"/>
    <w:rsid w:val="001D58BD"/>
    <w:rsid w:val="001E03F6"/>
    <w:rsid w:val="001E1FDA"/>
    <w:rsid w:val="001E548A"/>
    <w:rsid w:val="001E621D"/>
    <w:rsid w:val="001F0244"/>
    <w:rsid w:val="001F1487"/>
    <w:rsid w:val="001F36D9"/>
    <w:rsid w:val="001F5B14"/>
    <w:rsid w:val="00200B4D"/>
    <w:rsid w:val="00202EE0"/>
    <w:rsid w:val="00207336"/>
    <w:rsid w:val="00210B47"/>
    <w:rsid w:val="0021342C"/>
    <w:rsid w:val="00213736"/>
    <w:rsid w:val="002140BC"/>
    <w:rsid w:val="00214994"/>
    <w:rsid w:val="00214B3C"/>
    <w:rsid w:val="002177BE"/>
    <w:rsid w:val="00217B78"/>
    <w:rsid w:val="002202E5"/>
    <w:rsid w:val="00221E16"/>
    <w:rsid w:val="002226BD"/>
    <w:rsid w:val="0022317C"/>
    <w:rsid w:val="0022555D"/>
    <w:rsid w:val="00225CA7"/>
    <w:rsid w:val="00226917"/>
    <w:rsid w:val="00226C63"/>
    <w:rsid w:val="00227311"/>
    <w:rsid w:val="00233090"/>
    <w:rsid w:val="002345D3"/>
    <w:rsid w:val="002351F0"/>
    <w:rsid w:val="0024772E"/>
    <w:rsid w:val="00247A1C"/>
    <w:rsid w:val="00250039"/>
    <w:rsid w:val="00260CDE"/>
    <w:rsid w:val="002626FA"/>
    <w:rsid w:val="0026347D"/>
    <w:rsid w:val="00265B8B"/>
    <w:rsid w:val="0026756E"/>
    <w:rsid w:val="00272791"/>
    <w:rsid w:val="0027332E"/>
    <w:rsid w:val="00275753"/>
    <w:rsid w:val="0027788D"/>
    <w:rsid w:val="002833E1"/>
    <w:rsid w:val="00284F6E"/>
    <w:rsid w:val="002855CB"/>
    <w:rsid w:val="0029174A"/>
    <w:rsid w:val="00294BAC"/>
    <w:rsid w:val="002964A1"/>
    <w:rsid w:val="002A28F3"/>
    <w:rsid w:val="002A4221"/>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2F8D"/>
    <w:rsid w:val="00323508"/>
    <w:rsid w:val="003263AE"/>
    <w:rsid w:val="00326AA0"/>
    <w:rsid w:val="0033241F"/>
    <w:rsid w:val="00335B30"/>
    <w:rsid w:val="00340C27"/>
    <w:rsid w:val="003411EC"/>
    <w:rsid w:val="00341B12"/>
    <w:rsid w:val="00341E3B"/>
    <w:rsid w:val="0034240F"/>
    <w:rsid w:val="003454F7"/>
    <w:rsid w:val="0035150D"/>
    <w:rsid w:val="003546D9"/>
    <w:rsid w:val="00354C8E"/>
    <w:rsid w:val="0036112A"/>
    <w:rsid w:val="00365A87"/>
    <w:rsid w:val="00370C26"/>
    <w:rsid w:val="00371289"/>
    <w:rsid w:val="00375E65"/>
    <w:rsid w:val="00380EF2"/>
    <w:rsid w:val="003817CA"/>
    <w:rsid w:val="00383384"/>
    <w:rsid w:val="0038723A"/>
    <w:rsid w:val="0038771D"/>
    <w:rsid w:val="00393377"/>
    <w:rsid w:val="0039425C"/>
    <w:rsid w:val="003A0677"/>
    <w:rsid w:val="003A5163"/>
    <w:rsid w:val="003A54C8"/>
    <w:rsid w:val="003A5CB9"/>
    <w:rsid w:val="003A7CFD"/>
    <w:rsid w:val="003B298A"/>
    <w:rsid w:val="003B4E65"/>
    <w:rsid w:val="003B5EC6"/>
    <w:rsid w:val="003C5731"/>
    <w:rsid w:val="003C5BD4"/>
    <w:rsid w:val="003D3C39"/>
    <w:rsid w:val="003D620E"/>
    <w:rsid w:val="003D774C"/>
    <w:rsid w:val="003E389C"/>
    <w:rsid w:val="003E3C00"/>
    <w:rsid w:val="003F17EB"/>
    <w:rsid w:val="003F4E69"/>
    <w:rsid w:val="003F579A"/>
    <w:rsid w:val="003F7F02"/>
    <w:rsid w:val="004134CC"/>
    <w:rsid w:val="00414E29"/>
    <w:rsid w:val="00416C2A"/>
    <w:rsid w:val="00422EC9"/>
    <w:rsid w:val="0042390B"/>
    <w:rsid w:val="004240CB"/>
    <w:rsid w:val="00427048"/>
    <w:rsid w:val="00431615"/>
    <w:rsid w:val="00433376"/>
    <w:rsid w:val="00433DDE"/>
    <w:rsid w:val="0043557E"/>
    <w:rsid w:val="00437715"/>
    <w:rsid w:val="004509C9"/>
    <w:rsid w:val="004515FB"/>
    <w:rsid w:val="00452A2A"/>
    <w:rsid w:val="00456B64"/>
    <w:rsid w:val="0046238B"/>
    <w:rsid w:val="00464E40"/>
    <w:rsid w:val="00466CCD"/>
    <w:rsid w:val="004704FF"/>
    <w:rsid w:val="00485627"/>
    <w:rsid w:val="00492EA8"/>
    <w:rsid w:val="004965D8"/>
    <w:rsid w:val="004A075B"/>
    <w:rsid w:val="004A2C6F"/>
    <w:rsid w:val="004A39A1"/>
    <w:rsid w:val="004A6190"/>
    <w:rsid w:val="004B2ABE"/>
    <w:rsid w:val="004B343C"/>
    <w:rsid w:val="004B4B3C"/>
    <w:rsid w:val="004B61A9"/>
    <w:rsid w:val="004C16B0"/>
    <w:rsid w:val="004C626E"/>
    <w:rsid w:val="004D0669"/>
    <w:rsid w:val="004D272C"/>
    <w:rsid w:val="004D2B8C"/>
    <w:rsid w:val="004D4723"/>
    <w:rsid w:val="004E228E"/>
    <w:rsid w:val="004E39D8"/>
    <w:rsid w:val="004E5557"/>
    <w:rsid w:val="004F46F4"/>
    <w:rsid w:val="004F5759"/>
    <w:rsid w:val="0050011F"/>
    <w:rsid w:val="00505C15"/>
    <w:rsid w:val="0051017E"/>
    <w:rsid w:val="005101FE"/>
    <w:rsid w:val="00510E4D"/>
    <w:rsid w:val="005128C7"/>
    <w:rsid w:val="00513D90"/>
    <w:rsid w:val="00514843"/>
    <w:rsid w:val="00515949"/>
    <w:rsid w:val="0051626F"/>
    <w:rsid w:val="00517E3E"/>
    <w:rsid w:val="005234F5"/>
    <w:rsid w:val="00527631"/>
    <w:rsid w:val="00527C76"/>
    <w:rsid w:val="005303B4"/>
    <w:rsid w:val="00531ADF"/>
    <w:rsid w:val="00535B5A"/>
    <w:rsid w:val="005369CD"/>
    <w:rsid w:val="00537417"/>
    <w:rsid w:val="0054131D"/>
    <w:rsid w:val="005418B9"/>
    <w:rsid w:val="005427F1"/>
    <w:rsid w:val="005429AA"/>
    <w:rsid w:val="005433CF"/>
    <w:rsid w:val="0054378E"/>
    <w:rsid w:val="00550AF8"/>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0035"/>
    <w:rsid w:val="005C1B85"/>
    <w:rsid w:val="005C4B2B"/>
    <w:rsid w:val="005C5880"/>
    <w:rsid w:val="005D0A89"/>
    <w:rsid w:val="005D3A8C"/>
    <w:rsid w:val="005D7769"/>
    <w:rsid w:val="005E1362"/>
    <w:rsid w:val="005E2E93"/>
    <w:rsid w:val="005E330F"/>
    <w:rsid w:val="005E3697"/>
    <w:rsid w:val="005E4438"/>
    <w:rsid w:val="005E519C"/>
    <w:rsid w:val="005E56C5"/>
    <w:rsid w:val="005F1DFE"/>
    <w:rsid w:val="005F222C"/>
    <w:rsid w:val="005F5659"/>
    <w:rsid w:val="005F79AB"/>
    <w:rsid w:val="005F7FA8"/>
    <w:rsid w:val="00602A79"/>
    <w:rsid w:val="00602E7D"/>
    <w:rsid w:val="0060337E"/>
    <w:rsid w:val="00603EFA"/>
    <w:rsid w:val="00605FD4"/>
    <w:rsid w:val="006077F9"/>
    <w:rsid w:val="00610B6E"/>
    <w:rsid w:val="00612388"/>
    <w:rsid w:val="006158EE"/>
    <w:rsid w:val="00624EDC"/>
    <w:rsid w:val="00627D0E"/>
    <w:rsid w:val="00627FFB"/>
    <w:rsid w:val="00630CCA"/>
    <w:rsid w:val="00630D4A"/>
    <w:rsid w:val="00636BE6"/>
    <w:rsid w:val="00640DE0"/>
    <w:rsid w:val="00643F46"/>
    <w:rsid w:val="006461EA"/>
    <w:rsid w:val="00647FAB"/>
    <w:rsid w:val="0065074D"/>
    <w:rsid w:val="00650F39"/>
    <w:rsid w:val="00651F24"/>
    <w:rsid w:val="006524E5"/>
    <w:rsid w:val="00655F12"/>
    <w:rsid w:val="0065623E"/>
    <w:rsid w:val="00656E14"/>
    <w:rsid w:val="00672D21"/>
    <w:rsid w:val="00674D12"/>
    <w:rsid w:val="00694677"/>
    <w:rsid w:val="006955F9"/>
    <w:rsid w:val="006A2878"/>
    <w:rsid w:val="006A357D"/>
    <w:rsid w:val="006A4877"/>
    <w:rsid w:val="006A57DC"/>
    <w:rsid w:val="006A67F0"/>
    <w:rsid w:val="006A77BD"/>
    <w:rsid w:val="006A7991"/>
    <w:rsid w:val="006B1803"/>
    <w:rsid w:val="006B1D42"/>
    <w:rsid w:val="006B3614"/>
    <w:rsid w:val="006B4454"/>
    <w:rsid w:val="006B74B1"/>
    <w:rsid w:val="006C00B4"/>
    <w:rsid w:val="006C0A41"/>
    <w:rsid w:val="006C0A75"/>
    <w:rsid w:val="006C5BC1"/>
    <w:rsid w:val="006C5E01"/>
    <w:rsid w:val="006C60DE"/>
    <w:rsid w:val="006D740E"/>
    <w:rsid w:val="006F0122"/>
    <w:rsid w:val="006F1087"/>
    <w:rsid w:val="006F2072"/>
    <w:rsid w:val="006F7595"/>
    <w:rsid w:val="006F799F"/>
    <w:rsid w:val="00706626"/>
    <w:rsid w:val="00706920"/>
    <w:rsid w:val="007161FF"/>
    <w:rsid w:val="0071691E"/>
    <w:rsid w:val="007211FC"/>
    <w:rsid w:val="0072282A"/>
    <w:rsid w:val="00723EC7"/>
    <w:rsid w:val="00727848"/>
    <w:rsid w:val="007344D3"/>
    <w:rsid w:val="007351BE"/>
    <w:rsid w:val="00735391"/>
    <w:rsid w:val="0073660F"/>
    <w:rsid w:val="0073752E"/>
    <w:rsid w:val="00737829"/>
    <w:rsid w:val="007461AD"/>
    <w:rsid w:val="007470D8"/>
    <w:rsid w:val="0074756E"/>
    <w:rsid w:val="00753743"/>
    <w:rsid w:val="007560FE"/>
    <w:rsid w:val="007566B1"/>
    <w:rsid w:val="00757E68"/>
    <w:rsid w:val="00764538"/>
    <w:rsid w:val="00764AD8"/>
    <w:rsid w:val="00766A8D"/>
    <w:rsid w:val="00771E35"/>
    <w:rsid w:val="007730FE"/>
    <w:rsid w:val="0077359A"/>
    <w:rsid w:val="00776CB6"/>
    <w:rsid w:val="00777B13"/>
    <w:rsid w:val="00777B8D"/>
    <w:rsid w:val="00780A38"/>
    <w:rsid w:val="00787A0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B7F06"/>
    <w:rsid w:val="007C1A33"/>
    <w:rsid w:val="007C38CF"/>
    <w:rsid w:val="007C43A5"/>
    <w:rsid w:val="007C4770"/>
    <w:rsid w:val="007C7005"/>
    <w:rsid w:val="007C78C5"/>
    <w:rsid w:val="007D0604"/>
    <w:rsid w:val="007D3155"/>
    <w:rsid w:val="007D34E2"/>
    <w:rsid w:val="007D78F8"/>
    <w:rsid w:val="007E4398"/>
    <w:rsid w:val="007F1A2A"/>
    <w:rsid w:val="00800DEE"/>
    <w:rsid w:val="00802929"/>
    <w:rsid w:val="00803A0E"/>
    <w:rsid w:val="00803CF6"/>
    <w:rsid w:val="0080680C"/>
    <w:rsid w:val="008075A8"/>
    <w:rsid w:val="008117C8"/>
    <w:rsid w:val="0081502E"/>
    <w:rsid w:val="008220C1"/>
    <w:rsid w:val="008222C3"/>
    <w:rsid w:val="00824F87"/>
    <w:rsid w:val="008306A7"/>
    <w:rsid w:val="0083260C"/>
    <w:rsid w:val="00832D21"/>
    <w:rsid w:val="00832F59"/>
    <w:rsid w:val="008345BA"/>
    <w:rsid w:val="00835D2F"/>
    <w:rsid w:val="008409F5"/>
    <w:rsid w:val="00840B1F"/>
    <w:rsid w:val="00845DDA"/>
    <w:rsid w:val="008479FE"/>
    <w:rsid w:val="008502D7"/>
    <w:rsid w:val="0085152A"/>
    <w:rsid w:val="00852507"/>
    <w:rsid w:val="00853AB2"/>
    <w:rsid w:val="00856883"/>
    <w:rsid w:val="00857CDC"/>
    <w:rsid w:val="008602A0"/>
    <w:rsid w:val="00860610"/>
    <w:rsid w:val="00860CDE"/>
    <w:rsid w:val="00861AA9"/>
    <w:rsid w:val="00863415"/>
    <w:rsid w:val="008645DE"/>
    <w:rsid w:val="008661B3"/>
    <w:rsid w:val="00867E08"/>
    <w:rsid w:val="00875B37"/>
    <w:rsid w:val="0087719A"/>
    <w:rsid w:val="00877C33"/>
    <w:rsid w:val="008816F9"/>
    <w:rsid w:val="0088250E"/>
    <w:rsid w:val="00892B30"/>
    <w:rsid w:val="00893296"/>
    <w:rsid w:val="0089337F"/>
    <w:rsid w:val="008946DB"/>
    <w:rsid w:val="00894F9F"/>
    <w:rsid w:val="008A0C13"/>
    <w:rsid w:val="008A16C2"/>
    <w:rsid w:val="008A2ECC"/>
    <w:rsid w:val="008A3ACD"/>
    <w:rsid w:val="008C07D4"/>
    <w:rsid w:val="008C1D48"/>
    <w:rsid w:val="008D0B78"/>
    <w:rsid w:val="008D4068"/>
    <w:rsid w:val="008E2C3D"/>
    <w:rsid w:val="008F0321"/>
    <w:rsid w:val="008F43C9"/>
    <w:rsid w:val="008F4B86"/>
    <w:rsid w:val="008F4F0F"/>
    <w:rsid w:val="00903894"/>
    <w:rsid w:val="00904932"/>
    <w:rsid w:val="009056D8"/>
    <w:rsid w:val="00906B2A"/>
    <w:rsid w:val="0091216C"/>
    <w:rsid w:val="0091604F"/>
    <w:rsid w:val="009205D6"/>
    <w:rsid w:val="00924F48"/>
    <w:rsid w:val="00924FC6"/>
    <w:rsid w:val="00925D57"/>
    <w:rsid w:val="00932214"/>
    <w:rsid w:val="00933D57"/>
    <w:rsid w:val="0093434A"/>
    <w:rsid w:val="00937090"/>
    <w:rsid w:val="009377EA"/>
    <w:rsid w:val="0094665D"/>
    <w:rsid w:val="00950E69"/>
    <w:rsid w:val="00953FCD"/>
    <w:rsid w:val="009546EB"/>
    <w:rsid w:val="009550AF"/>
    <w:rsid w:val="00957495"/>
    <w:rsid w:val="00960D82"/>
    <w:rsid w:val="00961537"/>
    <w:rsid w:val="0096185C"/>
    <w:rsid w:val="0096339A"/>
    <w:rsid w:val="00963BF2"/>
    <w:rsid w:val="009641B1"/>
    <w:rsid w:val="00977766"/>
    <w:rsid w:val="009806B6"/>
    <w:rsid w:val="009943F7"/>
    <w:rsid w:val="00996912"/>
    <w:rsid w:val="009A0EA7"/>
    <w:rsid w:val="009A174A"/>
    <w:rsid w:val="009A4F56"/>
    <w:rsid w:val="009A5E85"/>
    <w:rsid w:val="009A66FE"/>
    <w:rsid w:val="009A698C"/>
    <w:rsid w:val="009A7AD3"/>
    <w:rsid w:val="009B0522"/>
    <w:rsid w:val="009B1E3D"/>
    <w:rsid w:val="009B5A50"/>
    <w:rsid w:val="009C26A8"/>
    <w:rsid w:val="009C3676"/>
    <w:rsid w:val="009C7889"/>
    <w:rsid w:val="009D1D53"/>
    <w:rsid w:val="009D5B37"/>
    <w:rsid w:val="009E369D"/>
    <w:rsid w:val="009E5334"/>
    <w:rsid w:val="009E6EB0"/>
    <w:rsid w:val="009E7869"/>
    <w:rsid w:val="009F1D16"/>
    <w:rsid w:val="009F2A5E"/>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31446"/>
    <w:rsid w:val="00A342D0"/>
    <w:rsid w:val="00A40C6D"/>
    <w:rsid w:val="00A43147"/>
    <w:rsid w:val="00A43600"/>
    <w:rsid w:val="00A43A0E"/>
    <w:rsid w:val="00A4467F"/>
    <w:rsid w:val="00A45CD9"/>
    <w:rsid w:val="00A45FB5"/>
    <w:rsid w:val="00A537D9"/>
    <w:rsid w:val="00A548F0"/>
    <w:rsid w:val="00A55320"/>
    <w:rsid w:val="00A55CED"/>
    <w:rsid w:val="00A56301"/>
    <w:rsid w:val="00A61EA5"/>
    <w:rsid w:val="00A635DB"/>
    <w:rsid w:val="00A646F7"/>
    <w:rsid w:val="00A672A9"/>
    <w:rsid w:val="00A677F5"/>
    <w:rsid w:val="00A711B2"/>
    <w:rsid w:val="00A72987"/>
    <w:rsid w:val="00A76C6F"/>
    <w:rsid w:val="00A81623"/>
    <w:rsid w:val="00A820DE"/>
    <w:rsid w:val="00A840FF"/>
    <w:rsid w:val="00A85ACF"/>
    <w:rsid w:val="00A86AE7"/>
    <w:rsid w:val="00A929C5"/>
    <w:rsid w:val="00A92AE4"/>
    <w:rsid w:val="00A952CE"/>
    <w:rsid w:val="00A963DA"/>
    <w:rsid w:val="00AA02FD"/>
    <w:rsid w:val="00AA06FD"/>
    <w:rsid w:val="00AA070B"/>
    <w:rsid w:val="00AA49E7"/>
    <w:rsid w:val="00AA6D2A"/>
    <w:rsid w:val="00AB196D"/>
    <w:rsid w:val="00AB7609"/>
    <w:rsid w:val="00AC210B"/>
    <w:rsid w:val="00AC33B2"/>
    <w:rsid w:val="00AC4533"/>
    <w:rsid w:val="00AC5400"/>
    <w:rsid w:val="00AC6743"/>
    <w:rsid w:val="00AD0F81"/>
    <w:rsid w:val="00AD3286"/>
    <w:rsid w:val="00AD42DD"/>
    <w:rsid w:val="00AD4E49"/>
    <w:rsid w:val="00AD50AF"/>
    <w:rsid w:val="00AD6787"/>
    <w:rsid w:val="00AE727C"/>
    <w:rsid w:val="00AF2398"/>
    <w:rsid w:val="00AF4AE2"/>
    <w:rsid w:val="00AF65C8"/>
    <w:rsid w:val="00AF6750"/>
    <w:rsid w:val="00AF7609"/>
    <w:rsid w:val="00B0254B"/>
    <w:rsid w:val="00B14091"/>
    <w:rsid w:val="00B142DB"/>
    <w:rsid w:val="00B14826"/>
    <w:rsid w:val="00B16240"/>
    <w:rsid w:val="00B20F2E"/>
    <w:rsid w:val="00B235E0"/>
    <w:rsid w:val="00B26560"/>
    <w:rsid w:val="00B27BCB"/>
    <w:rsid w:val="00B3370B"/>
    <w:rsid w:val="00B33F02"/>
    <w:rsid w:val="00B437F5"/>
    <w:rsid w:val="00B5112E"/>
    <w:rsid w:val="00B5165A"/>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2A61"/>
    <w:rsid w:val="00B76CDE"/>
    <w:rsid w:val="00B77319"/>
    <w:rsid w:val="00B85570"/>
    <w:rsid w:val="00B86D2D"/>
    <w:rsid w:val="00B87B44"/>
    <w:rsid w:val="00BA06BC"/>
    <w:rsid w:val="00BA0E67"/>
    <w:rsid w:val="00BA3D8A"/>
    <w:rsid w:val="00BA4845"/>
    <w:rsid w:val="00BA69FB"/>
    <w:rsid w:val="00BB22CC"/>
    <w:rsid w:val="00BB51C7"/>
    <w:rsid w:val="00BB5A03"/>
    <w:rsid w:val="00BC030A"/>
    <w:rsid w:val="00BC3207"/>
    <w:rsid w:val="00BC6F33"/>
    <w:rsid w:val="00BD452B"/>
    <w:rsid w:val="00BD643B"/>
    <w:rsid w:val="00BE34A8"/>
    <w:rsid w:val="00BE35A0"/>
    <w:rsid w:val="00BF3777"/>
    <w:rsid w:val="00BF721F"/>
    <w:rsid w:val="00C05C6B"/>
    <w:rsid w:val="00C07B56"/>
    <w:rsid w:val="00C100EA"/>
    <w:rsid w:val="00C12829"/>
    <w:rsid w:val="00C156B6"/>
    <w:rsid w:val="00C16E52"/>
    <w:rsid w:val="00C21297"/>
    <w:rsid w:val="00C2261D"/>
    <w:rsid w:val="00C22ED1"/>
    <w:rsid w:val="00C2460B"/>
    <w:rsid w:val="00C2729F"/>
    <w:rsid w:val="00C2751B"/>
    <w:rsid w:val="00C31012"/>
    <w:rsid w:val="00C323AD"/>
    <w:rsid w:val="00C32F6C"/>
    <w:rsid w:val="00C330C3"/>
    <w:rsid w:val="00C335DA"/>
    <w:rsid w:val="00C40757"/>
    <w:rsid w:val="00C4169B"/>
    <w:rsid w:val="00C42F75"/>
    <w:rsid w:val="00C43C6D"/>
    <w:rsid w:val="00C44422"/>
    <w:rsid w:val="00C4747F"/>
    <w:rsid w:val="00C51C7E"/>
    <w:rsid w:val="00C52AB7"/>
    <w:rsid w:val="00C53E85"/>
    <w:rsid w:val="00C62FEC"/>
    <w:rsid w:val="00C65E00"/>
    <w:rsid w:val="00C65E89"/>
    <w:rsid w:val="00C660BD"/>
    <w:rsid w:val="00C663C8"/>
    <w:rsid w:val="00C66B92"/>
    <w:rsid w:val="00C670BC"/>
    <w:rsid w:val="00C70663"/>
    <w:rsid w:val="00C70852"/>
    <w:rsid w:val="00C71655"/>
    <w:rsid w:val="00C77EA1"/>
    <w:rsid w:val="00C8188B"/>
    <w:rsid w:val="00C82CFF"/>
    <w:rsid w:val="00C85012"/>
    <w:rsid w:val="00C97BC7"/>
    <w:rsid w:val="00CA6B99"/>
    <w:rsid w:val="00CA77C4"/>
    <w:rsid w:val="00CA7A1F"/>
    <w:rsid w:val="00CB0714"/>
    <w:rsid w:val="00CB4261"/>
    <w:rsid w:val="00CB4990"/>
    <w:rsid w:val="00CB6F32"/>
    <w:rsid w:val="00CC0225"/>
    <w:rsid w:val="00CC1066"/>
    <w:rsid w:val="00CC16FD"/>
    <w:rsid w:val="00CC45D7"/>
    <w:rsid w:val="00CD13BC"/>
    <w:rsid w:val="00CD1C3D"/>
    <w:rsid w:val="00CD1DDD"/>
    <w:rsid w:val="00CD6BA8"/>
    <w:rsid w:val="00CE04AC"/>
    <w:rsid w:val="00CE2CB3"/>
    <w:rsid w:val="00CE2D96"/>
    <w:rsid w:val="00CE39B1"/>
    <w:rsid w:val="00CE7475"/>
    <w:rsid w:val="00CF1E51"/>
    <w:rsid w:val="00CF3C9B"/>
    <w:rsid w:val="00CF3F69"/>
    <w:rsid w:val="00CF49C7"/>
    <w:rsid w:val="00CF52C6"/>
    <w:rsid w:val="00CF7251"/>
    <w:rsid w:val="00D03854"/>
    <w:rsid w:val="00D03E89"/>
    <w:rsid w:val="00D04216"/>
    <w:rsid w:val="00D07165"/>
    <w:rsid w:val="00D07618"/>
    <w:rsid w:val="00D109FA"/>
    <w:rsid w:val="00D10E21"/>
    <w:rsid w:val="00D16734"/>
    <w:rsid w:val="00D177E0"/>
    <w:rsid w:val="00D2357E"/>
    <w:rsid w:val="00D259EC"/>
    <w:rsid w:val="00D25E17"/>
    <w:rsid w:val="00D26A04"/>
    <w:rsid w:val="00D27FDF"/>
    <w:rsid w:val="00D30AB8"/>
    <w:rsid w:val="00D310C3"/>
    <w:rsid w:val="00D31E0A"/>
    <w:rsid w:val="00D33340"/>
    <w:rsid w:val="00D4141A"/>
    <w:rsid w:val="00D4327F"/>
    <w:rsid w:val="00D43F6E"/>
    <w:rsid w:val="00D51039"/>
    <w:rsid w:val="00D51932"/>
    <w:rsid w:val="00D53C17"/>
    <w:rsid w:val="00D548FF"/>
    <w:rsid w:val="00D573FC"/>
    <w:rsid w:val="00D70274"/>
    <w:rsid w:val="00D70A75"/>
    <w:rsid w:val="00D72E14"/>
    <w:rsid w:val="00D7364B"/>
    <w:rsid w:val="00D74672"/>
    <w:rsid w:val="00D769F6"/>
    <w:rsid w:val="00D87C80"/>
    <w:rsid w:val="00D94CB0"/>
    <w:rsid w:val="00D95C8E"/>
    <w:rsid w:val="00D96220"/>
    <w:rsid w:val="00DA7370"/>
    <w:rsid w:val="00DA7DFB"/>
    <w:rsid w:val="00DB454A"/>
    <w:rsid w:val="00DB5905"/>
    <w:rsid w:val="00DC598C"/>
    <w:rsid w:val="00DD0965"/>
    <w:rsid w:val="00DD0CF2"/>
    <w:rsid w:val="00DD57EC"/>
    <w:rsid w:val="00DD5E3A"/>
    <w:rsid w:val="00DD5E95"/>
    <w:rsid w:val="00DD5EC3"/>
    <w:rsid w:val="00DF1A93"/>
    <w:rsid w:val="00DF20B2"/>
    <w:rsid w:val="00DF426B"/>
    <w:rsid w:val="00DF68B7"/>
    <w:rsid w:val="00E00CFE"/>
    <w:rsid w:val="00E03B82"/>
    <w:rsid w:val="00E072FE"/>
    <w:rsid w:val="00E07469"/>
    <w:rsid w:val="00E14035"/>
    <w:rsid w:val="00E174AA"/>
    <w:rsid w:val="00E17AE3"/>
    <w:rsid w:val="00E20B3C"/>
    <w:rsid w:val="00E2427A"/>
    <w:rsid w:val="00E249BA"/>
    <w:rsid w:val="00E25D94"/>
    <w:rsid w:val="00E309D6"/>
    <w:rsid w:val="00E35294"/>
    <w:rsid w:val="00E37288"/>
    <w:rsid w:val="00E40B6D"/>
    <w:rsid w:val="00E42681"/>
    <w:rsid w:val="00E46A70"/>
    <w:rsid w:val="00E46F71"/>
    <w:rsid w:val="00E50124"/>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B392E"/>
    <w:rsid w:val="00EB56CB"/>
    <w:rsid w:val="00EB7462"/>
    <w:rsid w:val="00EC018E"/>
    <w:rsid w:val="00EC05FE"/>
    <w:rsid w:val="00EC0807"/>
    <w:rsid w:val="00EC2572"/>
    <w:rsid w:val="00EC4D82"/>
    <w:rsid w:val="00EC5306"/>
    <w:rsid w:val="00EC5798"/>
    <w:rsid w:val="00ED0E02"/>
    <w:rsid w:val="00ED1230"/>
    <w:rsid w:val="00ED17EB"/>
    <w:rsid w:val="00EE0337"/>
    <w:rsid w:val="00EE14B0"/>
    <w:rsid w:val="00EE7E48"/>
    <w:rsid w:val="00EE7F53"/>
    <w:rsid w:val="00EF2AAE"/>
    <w:rsid w:val="00EF398E"/>
    <w:rsid w:val="00F027A4"/>
    <w:rsid w:val="00F04449"/>
    <w:rsid w:val="00F07A6C"/>
    <w:rsid w:val="00F10419"/>
    <w:rsid w:val="00F10ACD"/>
    <w:rsid w:val="00F14B16"/>
    <w:rsid w:val="00F15A22"/>
    <w:rsid w:val="00F23C5D"/>
    <w:rsid w:val="00F24BA3"/>
    <w:rsid w:val="00F251A3"/>
    <w:rsid w:val="00F346D7"/>
    <w:rsid w:val="00F359FF"/>
    <w:rsid w:val="00F37521"/>
    <w:rsid w:val="00F41B94"/>
    <w:rsid w:val="00F43087"/>
    <w:rsid w:val="00F46980"/>
    <w:rsid w:val="00F54098"/>
    <w:rsid w:val="00F5586A"/>
    <w:rsid w:val="00F6156E"/>
    <w:rsid w:val="00F62C5B"/>
    <w:rsid w:val="00F63710"/>
    <w:rsid w:val="00F71A0E"/>
    <w:rsid w:val="00F80AD3"/>
    <w:rsid w:val="00F84704"/>
    <w:rsid w:val="00F86912"/>
    <w:rsid w:val="00F86A0D"/>
    <w:rsid w:val="00F902D6"/>
    <w:rsid w:val="00F90BB1"/>
    <w:rsid w:val="00F94CF8"/>
    <w:rsid w:val="00FA4E2F"/>
    <w:rsid w:val="00FA787B"/>
    <w:rsid w:val="00FC1DCC"/>
    <w:rsid w:val="00FC277F"/>
    <w:rsid w:val="00FC7AAB"/>
    <w:rsid w:val="00FD5BE0"/>
    <w:rsid w:val="00FD61C7"/>
    <w:rsid w:val="00FD7563"/>
    <w:rsid w:val="00FE2312"/>
    <w:rsid w:val="00FE290A"/>
    <w:rsid w:val="00FE3070"/>
    <w:rsid w:val="00FE6CFE"/>
    <w:rsid w:val="00FF29E7"/>
    <w:rsid w:val="00FF3408"/>
    <w:rsid w:val="00FF43EF"/>
    <w:rsid w:val="00FF5C6B"/>
    <w:rsid w:val="05CA854B"/>
    <w:rsid w:val="072F2146"/>
    <w:rsid w:val="1A8F7853"/>
    <w:rsid w:val="1B72C738"/>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B76A2401-9435-48D3-A7D5-529BA907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6C60DE"/>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 xmlns="c712b3fb-dfa4-408d-ba67-c014ff684e9a">1.2</V>
    <_DCDateModified xmlns="http://schemas.microsoft.com/sharepoint/v3/fields" xsi:nil="true"/>
    <Status xmlns="336dc6f7-e858-42a6-bc18-5509d747a3d8">Approved</Status>
    <Doc_x0020_Number xmlns="336dc6f7-e858-42a6-bc18-5509d747a3d8">DEL1410</Doc_x0020_Number>
    <CR xmlns="c712b3fb-dfa4-408d-ba67-c014ff684e9a">CR028</CR>
    <Short_x0020_Name xmlns="336dc6f7-e858-42a6-bc18-5509d747a3d8">CR028 Change Request</Short_x0020_Name>
    <Word_x0020_Doc_x0020__x002d__x0020_Temp xmlns="c712b3fb-dfa4-408d-ba67-c014ff684e9a">false</Word_x0020_Doc_x0020__x002d__x0020_Temp>
    <Action_x0020_With xmlns="c712b3fb-dfa4-408d-ba67-c014ff684e9a">Public</Action_x0020_With>
    <Theme xmlns="c712b3fb-dfa4-408d-ba67-c014ff684e9a">Request Forms</Theme>
    <Security_x0020_Classification xmlns="336dc6f7-e858-42a6-bc18-5509d747a3d8">PUBLIC</Security_x0020_Classification>
    <Sub_x0020_Type xmlns="c712b3fb-dfa4-408d-ba67-c014ff684e9a">Change Request</Sub_x0020_Type>
    <Archive xmlns="c712b3fb-dfa4-408d-ba67-c014ff684e9a">false</Archiv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6717ce1b-cc4a-468b-9c34-18b114a855a9"/>
    <ds:schemaRef ds:uri="ba0c55fe-5969-4f98-9e30-4f3b3df9a75a"/>
  </ds:schemaRefs>
</ds:datastoreItem>
</file>

<file path=customXml/itemProps2.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3.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4.xml><?xml version="1.0" encoding="utf-8"?>
<ds:datastoreItem xmlns:ds="http://schemas.openxmlformats.org/officeDocument/2006/customXml" ds:itemID="{68612A65-8818-4E3B-BAD8-F255F43C4AEA}"/>
</file>

<file path=docProps/app.xml><?xml version="1.0" encoding="utf-8"?>
<Properties xmlns="http://schemas.openxmlformats.org/officeDocument/2006/extended-properties" xmlns:vt="http://schemas.openxmlformats.org/officeDocument/2006/docPropsVTypes">
  <Template>Normal.dotm</Template>
  <TotalTime>1</TotalTime>
  <Pages>11</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2023-08-09T17:07:00Z</dcterms:created>
  <dcterms:modified xsi:type="dcterms:W3CDTF">2023-08-09T17:07:00Z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y fmtid="{D5CDD505-2E9C-101B-9397-08002B2CF9AE}" pid="4" name="MSIP_Label_fc8b966b-aada-4efd-a992-0185a2b1840f_Enabled">
    <vt:lpwstr>true</vt:lpwstr>
  </property>
  <property fmtid="{D5CDD505-2E9C-101B-9397-08002B2CF9AE}" pid="5" name="MSIP_Label_fc8b966b-aada-4efd-a992-0185a2b1840f_SetDate">
    <vt:lpwstr>2023-06-27T08:46:41Z</vt:lpwstr>
  </property>
  <property fmtid="{D5CDD505-2E9C-101B-9397-08002B2CF9AE}" pid="6" name="MSIP_Label_fc8b966b-aada-4efd-a992-0185a2b1840f_Method">
    <vt:lpwstr>Privileged</vt:lpwstr>
  </property>
  <property fmtid="{D5CDD505-2E9C-101B-9397-08002B2CF9AE}" pid="7" name="MSIP_Label_fc8b966b-aada-4efd-a992-0185a2b1840f_Name">
    <vt:lpwstr>Public</vt:lpwstr>
  </property>
  <property fmtid="{D5CDD505-2E9C-101B-9397-08002B2CF9AE}" pid="8" name="MSIP_Label_fc8b966b-aada-4efd-a992-0185a2b1840f_SiteId">
    <vt:lpwstr>f59e1ee2-6e37-44df-b088-2e81f9d1b201</vt:lpwstr>
  </property>
  <property fmtid="{D5CDD505-2E9C-101B-9397-08002B2CF9AE}" pid="9" name="MSIP_Label_fc8b966b-aada-4efd-a992-0185a2b1840f_ActionId">
    <vt:lpwstr>4838e594-3004-4543-b996-4da54a1c2346</vt:lpwstr>
  </property>
  <property fmtid="{D5CDD505-2E9C-101B-9397-08002B2CF9AE}" pid="10" name="MSIP_Label_fc8b966b-aada-4efd-a992-0185a2b1840f_ContentBits">
    <vt:lpwstr>0</vt:lpwstr>
  </property>
</Properties>
</file>